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0B" w:rsidRPr="00047F0B" w:rsidRDefault="00047F0B" w:rsidP="00047F0B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047F0B">
        <w:rPr>
          <w:rFonts w:ascii="B Nazanin" w:eastAsia="Times New Roman" w:hAnsi="B Nazanin" w:cs="B Nazanin"/>
          <w:b/>
          <w:bCs/>
          <w:sz w:val="28"/>
          <w:szCs w:val="28"/>
          <w:rtl/>
        </w:rPr>
        <w:t xml:space="preserve">تذکره ادبی گنجینه داده های اجتماعی </w:t>
      </w:r>
    </w:p>
    <w:p w:rsidR="00047F0B" w:rsidRPr="00047F0B" w:rsidRDefault="00047F0B" w:rsidP="00047F0B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047F0B">
        <w:rPr>
          <w:rFonts w:ascii="B Nazanin" w:eastAsia="Times New Roman" w:hAnsi="B Nazanin" w:cs="B Nazanin"/>
          <w:b/>
          <w:bCs/>
          <w:sz w:val="28"/>
          <w:szCs w:val="28"/>
          <w:rtl/>
        </w:rPr>
        <w:t>نویسنده : روح بخشان، ع</w:t>
      </w:r>
    </w:p>
    <w:p w:rsidR="00047F0B" w:rsidRPr="00047F0B" w:rsidRDefault="00047F0B" w:rsidP="00047F0B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</w:p>
    <w:p w:rsidR="00047F0B" w:rsidRPr="00047F0B" w:rsidRDefault="00047F0B" w:rsidP="00047F0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47F0B">
        <w:rPr>
          <w:rFonts w:ascii="B Nazanin" w:eastAsia="Times New Roman" w:hAnsi="B Nazanin" w:cs="B Nazanin"/>
          <w:sz w:val="28"/>
          <w:szCs w:val="28"/>
          <w:rtl/>
        </w:rPr>
        <w:t>سام‏میرزا صفوی، تذکره تحفه سامی، تصحیح و تحشیه دکتر رکن‏الدّین همایون‏فرخ، تهران، اساطیر، 1384، سی‏ودو + 435 + 12 ص تصویر</w:t>
      </w:r>
      <w:r w:rsidRPr="00047F0B">
        <w:rPr>
          <w:rFonts w:ascii="B Nazanin" w:eastAsia="Times New Roman" w:hAnsi="B Nazanin" w:cs="B Nazanin"/>
          <w:sz w:val="28"/>
          <w:szCs w:val="28"/>
        </w:rPr>
        <w:t>.</w:t>
      </w:r>
    </w:p>
    <w:p w:rsidR="00047F0B" w:rsidRPr="00047F0B" w:rsidRDefault="00047F0B" w:rsidP="00047F0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47F0B">
        <w:rPr>
          <w:rFonts w:ascii="B Nazanin" w:eastAsia="Times New Roman" w:hAnsi="B Nazanin" w:cs="B Nazanin"/>
          <w:sz w:val="28"/>
          <w:szCs w:val="28"/>
          <w:rtl/>
        </w:rPr>
        <w:t>در تاریخ حیات علمی و فرهنگیِ قرونِ اخیرِ ایران، چند شاهزاده می‏شناسیم که اهل ادب و فرهنگ بودند. یکی از این شاهزادگان سام‏میرزا، فرزند دوم شاه اسماعیل صفوی و برادر کوچک شاه طهماسب، است که در سال 923 ق در تبریز تولّد یافت و در سال 969 ق، به اتهامِ واهیِ طغیان، بازداشت و زندانی شد و در سال 984 ق در زندان به قتل رسید</w:t>
      </w:r>
      <w:r w:rsidRPr="00047F0B">
        <w:rPr>
          <w:rFonts w:ascii="B Nazanin" w:eastAsia="Times New Roman" w:hAnsi="B Nazanin" w:cs="B Nazanin"/>
          <w:sz w:val="28"/>
          <w:szCs w:val="28"/>
        </w:rPr>
        <w:t>.</w:t>
      </w:r>
    </w:p>
    <w:p w:rsidR="00047F0B" w:rsidRPr="00047F0B" w:rsidRDefault="00047F0B" w:rsidP="00047F0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47F0B">
        <w:rPr>
          <w:rFonts w:ascii="B Nazanin" w:eastAsia="Times New Roman" w:hAnsi="B Nazanin" w:cs="B Nazanin"/>
          <w:sz w:val="28"/>
          <w:szCs w:val="28"/>
          <w:rtl/>
        </w:rPr>
        <w:t>سام‏میرزا دوره کودکی و نوجوانی را به تحصیل و کسب کمال گذراند. آموزگاران و مربّیانش از گویندگان و نویسندگانِ‏زمانه‏بودند که وی، در تذکره خود، برخی از آنان را نام برده و ستوده است، از جمله درباره خواجه محمد موءمن، فرزند خواجه عبداللّه‏ مروارید، از سرِ قدرشناسی، می‏نویسد</w:t>
      </w:r>
      <w:r w:rsidRPr="00047F0B">
        <w:rPr>
          <w:rFonts w:ascii="B Nazanin" w:eastAsia="Times New Roman" w:hAnsi="B Nazanin" w:cs="B Nazanin"/>
          <w:sz w:val="28"/>
          <w:szCs w:val="28"/>
        </w:rPr>
        <w:t>:</w:t>
      </w:r>
    </w:p>
    <w:p w:rsidR="00047F0B" w:rsidRPr="00047F0B" w:rsidRDefault="00047F0B" w:rsidP="00047F0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47F0B">
        <w:rPr>
          <w:rFonts w:ascii="B Nazanin" w:eastAsia="Times New Roman" w:hAnsi="B Nazanin" w:cs="B Nazanin"/>
          <w:sz w:val="28"/>
          <w:szCs w:val="28"/>
          <w:rtl/>
        </w:rPr>
        <w:t>من در خدمت ایشان درس خواندم و اندک سیاه و سفیدی که فرق می‏توانم کرد از برکت ایشان است. در هرات و شیراز با من می‏بود (ص 107</w:t>
      </w:r>
      <w:r w:rsidRPr="00047F0B">
        <w:rPr>
          <w:rFonts w:ascii="B Nazanin" w:eastAsia="Times New Roman" w:hAnsi="B Nazanin" w:cs="B Nazanin"/>
          <w:sz w:val="28"/>
          <w:szCs w:val="28"/>
        </w:rPr>
        <w:t>).</w:t>
      </w:r>
    </w:p>
    <w:p w:rsidR="00047F0B" w:rsidRPr="00047F0B" w:rsidRDefault="00047F0B" w:rsidP="00047F0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47F0B">
        <w:rPr>
          <w:rFonts w:ascii="B Nazanin" w:eastAsia="Times New Roman" w:hAnsi="B Nazanin" w:cs="B Nazanin"/>
          <w:sz w:val="28"/>
          <w:szCs w:val="28"/>
          <w:rtl/>
        </w:rPr>
        <w:t>کسانی هم که للگی و سرپرستیِ او را بر عهده داشتند و با او مصاحب بودند اهلِ فضل و فرهنگ و فضیلت‏پرور بودند، مثل خواجه حبیب‏اللّه‏ ساوه‏ای که شعردوست و شاعرپرور بود و برای شُعرا غزل طرح می‏کرد و به اقتراح می‏گذاشت</w:t>
      </w:r>
      <w:r w:rsidRPr="00047F0B">
        <w:rPr>
          <w:rFonts w:ascii="B Nazanin" w:eastAsia="Times New Roman" w:hAnsi="B Nazanin" w:cs="B Nazanin"/>
          <w:sz w:val="28"/>
          <w:szCs w:val="28"/>
        </w:rPr>
        <w:t>.</w:t>
      </w:r>
    </w:p>
    <w:p w:rsidR="00047F0B" w:rsidRPr="00047F0B" w:rsidRDefault="00047F0B" w:rsidP="00047F0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47F0B">
        <w:rPr>
          <w:rFonts w:ascii="B Nazanin" w:eastAsia="Times New Roman" w:hAnsi="B Nazanin" w:cs="B Nazanin"/>
          <w:sz w:val="28"/>
          <w:szCs w:val="28"/>
          <w:rtl/>
        </w:rPr>
        <w:lastRenderedPageBreak/>
        <w:t>باری، این عوامل و اوضاع سبب شد که سام‏میرزا شاعر و ادیب بار آید. تحفه سامی احوال و آثارِ 712 تن از شاعرانِ زمان را در بر دارد. گزارشِ سام‏میرزا درباره شاعران گاه بسیار کوتاه و حتی یک‏سطری است و گاه نسبتاً مشروح در یک و به‏ندرت دو تا سه صفحه و در چند موردِ اندک، از جمله شرح حال و آثار جامی، ده صفحه. این گزارش حاوی حداقلِّ اطّلاعاتِ ضروری ــ نام، نامِ پدر، زادگاه، میزان سواد، اخلاق، و سبکِ شاعر ــ است و همواره نمونه‏ای از اشعارِ او را به همراه دارد که غالباً یک بیت و گاهی یک رباعی، یک غزل، یا یک قطعه است. موءلف همه جا به ارزیابی و سبک و سنگین کردنِ اشعار و نقد اخلاق و آثار سرایندگان می‏پردازد که نمونه‏هائی از آن را عیناً نقل می‏کنیم</w:t>
      </w:r>
      <w:r w:rsidRPr="00047F0B">
        <w:rPr>
          <w:rFonts w:ascii="B Nazanin" w:eastAsia="Times New Roman" w:hAnsi="B Nazanin" w:cs="B Nazanin"/>
          <w:sz w:val="28"/>
          <w:szCs w:val="28"/>
        </w:rPr>
        <w:t>.</w:t>
      </w:r>
    </w:p>
    <w:p w:rsidR="00047F0B" w:rsidRPr="00047F0B" w:rsidRDefault="00047F0B" w:rsidP="00047F0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proofErr w:type="gramStart"/>
      <w:r w:rsidRPr="00047F0B">
        <w:rPr>
          <w:rFonts w:ascii="B Nazanin" w:eastAsia="Times New Roman" w:hAnsi="B Nazanin" w:cs="B Nazanin"/>
          <w:sz w:val="28"/>
          <w:szCs w:val="28"/>
        </w:rPr>
        <w:t>«[</w:t>
      </w:r>
      <w:proofErr w:type="gramEnd"/>
      <w:r w:rsidRPr="00047F0B">
        <w:rPr>
          <w:rFonts w:ascii="B Nazanin" w:eastAsia="Times New Roman" w:hAnsi="B Nazanin" w:cs="B Nazanin"/>
          <w:sz w:val="28"/>
          <w:szCs w:val="28"/>
          <w:rtl/>
        </w:rPr>
        <w:t>بهرام‏میرزا] طبعی بغایت متصرّف و ذهنی به صفتِ حدّت متّصف داشت و در خطّه خطّ خصوصاً نستعلیق انگشت‏نما بود. در معموره طرّاحی و شعر و مُعمّا بی‏قرینه و همتا</w:t>
      </w:r>
      <w:r w:rsidRPr="00047F0B">
        <w:rPr>
          <w:rFonts w:ascii="B Nazanin" w:eastAsia="Times New Roman" w:hAnsi="B Nazanin" w:cs="B Nazanin"/>
          <w:sz w:val="28"/>
          <w:szCs w:val="28"/>
        </w:rPr>
        <w:t>» (</w:t>
      </w:r>
      <w:r w:rsidRPr="00047F0B">
        <w:rPr>
          <w:rFonts w:ascii="B Nazanin" w:eastAsia="Times New Roman" w:hAnsi="B Nazanin" w:cs="B Nazanin"/>
          <w:sz w:val="28"/>
          <w:szCs w:val="28"/>
          <w:rtl/>
        </w:rPr>
        <w:t>ص 12). «خدیجه بیگم، والده مظفرحسین میرزا فی‏الحقیقه خمیرمایه فساد بود» (ص 20</w:t>
      </w:r>
      <w:r w:rsidRPr="00047F0B">
        <w:rPr>
          <w:rFonts w:ascii="B Nazanin" w:eastAsia="Times New Roman" w:hAnsi="B Nazanin" w:cs="B Nazanin"/>
          <w:sz w:val="28"/>
          <w:szCs w:val="28"/>
        </w:rPr>
        <w:t xml:space="preserve">). </w:t>
      </w:r>
      <w:proofErr w:type="gramStart"/>
      <w:r w:rsidRPr="00047F0B">
        <w:rPr>
          <w:rFonts w:ascii="B Nazanin" w:eastAsia="Times New Roman" w:hAnsi="B Nazanin" w:cs="B Nazanin"/>
          <w:sz w:val="28"/>
          <w:szCs w:val="28"/>
        </w:rPr>
        <w:t>«</w:t>
      </w:r>
      <w:r w:rsidRPr="00047F0B">
        <w:rPr>
          <w:rFonts w:ascii="B Nazanin" w:eastAsia="Times New Roman" w:hAnsi="B Nazanin" w:cs="B Nazanin"/>
          <w:sz w:val="28"/>
          <w:szCs w:val="28"/>
          <w:rtl/>
        </w:rPr>
        <w:t>میرقوام‏الدّین حسن... در انشاء، فرید بود و در رعایت اهل فضل می‏کوشید و از تقوا و صلاح دقیقه‏ای نامرعی نمی‏گذاشت» (ص 32).</w:t>
      </w:r>
      <w:proofErr w:type="gramEnd"/>
      <w:r w:rsidRPr="00047F0B">
        <w:rPr>
          <w:rFonts w:ascii="B Nazanin" w:eastAsia="Times New Roman" w:hAnsi="B Nazanin" w:cs="B Nazanin"/>
          <w:sz w:val="28"/>
          <w:szCs w:val="28"/>
          <w:rtl/>
        </w:rPr>
        <w:t xml:space="preserve"> «قاضی اختیار... قاضی‏القضاةِ هرات بود و به زر جمع کردن و امساک شهرتِ تمام داشت اما خالی از فضلی نبود ... در اواخر عمر مثنوی به اسم صاحبقران مغفور به سلک نظم آورده ... موازی پنج‏هزار بیت. اما چنان معلوم می‏شود که هزار بیت از اشعارِ ریاضیِ زاوه‏ای را دزدیده و به نام خود کرده</w:t>
      </w:r>
      <w:r w:rsidRPr="00047F0B">
        <w:rPr>
          <w:rFonts w:ascii="B Nazanin" w:eastAsia="Times New Roman" w:hAnsi="B Nazanin" w:cs="B Nazanin"/>
          <w:sz w:val="28"/>
          <w:szCs w:val="28"/>
        </w:rPr>
        <w:t>» (</w:t>
      </w:r>
      <w:r w:rsidRPr="00047F0B">
        <w:rPr>
          <w:rFonts w:ascii="B Nazanin" w:eastAsia="Times New Roman" w:hAnsi="B Nazanin" w:cs="B Nazanin"/>
          <w:sz w:val="28"/>
          <w:szCs w:val="28"/>
          <w:rtl/>
        </w:rPr>
        <w:t>ص 49). «امیر بیخودی همدانی است و چون بیشتر اوقات از تناول بنگ بیخود است بیخودانه اعمالی از او سر می‏زند» (ص 57). «ابوالمحارم ... با وجود آنکه به غیر از خرسواری حیوانی دیگر را هرگز سواری نکرده بود میلِ چابک‏سواری و قپق‏اندازی داشت</w:t>
      </w:r>
      <w:r w:rsidRPr="00047F0B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047F0B">
        <w:rPr>
          <w:rFonts w:ascii="B Nazanin" w:eastAsia="Times New Roman" w:hAnsi="B Nazanin" w:cs="B Nazanin"/>
          <w:sz w:val="28"/>
          <w:szCs w:val="28"/>
          <w:rtl/>
        </w:rPr>
        <w:t>در دروغگویی به مرتبه‏ای بود که قصیده‏ای را که دیگری گفته بود در مجلس شاه خوانده و صله عظیم گرفته بود» (ص 59). «امیر زنده‏دل ساوه‏ای است. ابدال‏وَش و دیوانه‏طور می‏گردد» (ص 60). «میرعزیز قلندر ... از کمالِ شهرت در هجو و بی‏قیدی و</w:t>
      </w:r>
      <w:r w:rsidRPr="00047F0B">
        <w:rPr>
          <w:rFonts w:ascii="B Nazanin" w:eastAsia="Times New Roman" w:hAnsi="B Nazanin" w:cs="B Nazanin"/>
          <w:sz w:val="28"/>
          <w:szCs w:val="28"/>
        </w:rPr>
        <w:t xml:space="preserve"> ... </w:t>
      </w:r>
      <w:r w:rsidRPr="00047F0B">
        <w:rPr>
          <w:rFonts w:ascii="B Nazanin" w:eastAsia="Times New Roman" w:hAnsi="B Nazanin" w:cs="B Nazanin"/>
          <w:sz w:val="28"/>
          <w:szCs w:val="28"/>
          <w:rtl/>
        </w:rPr>
        <w:t xml:space="preserve">بی‏حیائی محتاج به تعریف نیست» (ص 63). «ایوب ابوالبرکه... سروَر چَپانیان و سرخیلِ بی‏حیایان و بی‏باکان بود و بی‏حیائیِ او زیاده از آن است که تعریف توان کرد. اما کلامش بغایت مقبول و شیرین و سخنانِ لطایف‏آمیزش </w:t>
      </w:r>
      <w:r w:rsidRPr="00047F0B">
        <w:rPr>
          <w:rFonts w:ascii="B Nazanin" w:eastAsia="Times New Roman" w:hAnsi="B Nazanin" w:cs="B Nazanin"/>
          <w:sz w:val="28"/>
          <w:szCs w:val="28"/>
          <w:rtl/>
        </w:rPr>
        <w:lastRenderedPageBreak/>
        <w:t>بسی مضحک و رنگین است» (ص 123</w:t>
      </w:r>
      <w:r w:rsidRPr="00047F0B">
        <w:rPr>
          <w:rFonts w:ascii="B Nazanin" w:eastAsia="Times New Roman" w:hAnsi="B Nazanin" w:cs="B Nazanin"/>
          <w:sz w:val="28"/>
          <w:szCs w:val="28"/>
        </w:rPr>
        <w:t xml:space="preserve">). </w:t>
      </w:r>
      <w:proofErr w:type="gramStart"/>
      <w:r w:rsidRPr="00047F0B">
        <w:rPr>
          <w:rFonts w:ascii="B Nazanin" w:eastAsia="Times New Roman" w:hAnsi="B Nazanin" w:cs="B Nazanin"/>
          <w:sz w:val="28"/>
          <w:szCs w:val="28"/>
        </w:rPr>
        <w:t>«</w:t>
      </w:r>
      <w:r w:rsidRPr="00047F0B">
        <w:rPr>
          <w:rFonts w:ascii="B Nazanin" w:eastAsia="Times New Roman" w:hAnsi="B Nazanin" w:cs="B Nazanin"/>
          <w:sz w:val="28"/>
          <w:szCs w:val="28"/>
          <w:rtl/>
        </w:rPr>
        <w:t>مولانا لسانی ... شاعری متین و نکته‏دان و شیرین بود.</w:t>
      </w:r>
      <w:proofErr w:type="gramEnd"/>
      <w:r w:rsidRPr="00047F0B">
        <w:rPr>
          <w:rFonts w:ascii="B Nazanin" w:eastAsia="Times New Roman" w:hAnsi="B Nazanin" w:cs="B Nazanin"/>
          <w:sz w:val="28"/>
          <w:szCs w:val="28"/>
          <w:rtl/>
        </w:rPr>
        <w:t xml:space="preserve"> اشعارِ او شترگربه واقع شده، چه یک غزلِ او که تمام خوب باشد کم است. اما آنچه خوب است بسیار بسیار خوب واقع شده» (ص 179). «الف ابدال ... اهاجی و هزلیاتِ رکیک او بسیار است، اما مُحرّر از تحریرِ آن عذرِ مکرّر می‏خواهد» (ص 196). «مولانا اَدایی از شعرای مشهور اصفهان است. شعر بسیار گفته اما قافیه غلط در شعر او بسیار است» (ص 239). «بیکسیِ شوشتری </w:t>
      </w:r>
      <w:r w:rsidRPr="00047F0B">
        <w:rPr>
          <w:rFonts w:ascii="B Nazanin" w:eastAsia="Times New Roman" w:hAnsi="B Nazanin" w:cs="B Nazanin"/>
          <w:sz w:val="28"/>
          <w:szCs w:val="28"/>
        </w:rPr>
        <w:t xml:space="preserve">... </w:t>
      </w:r>
      <w:r w:rsidRPr="00047F0B">
        <w:rPr>
          <w:rFonts w:ascii="B Nazanin" w:eastAsia="Times New Roman" w:hAnsi="B Nazanin" w:cs="B Nazanin"/>
          <w:sz w:val="28"/>
          <w:szCs w:val="28"/>
          <w:rtl/>
        </w:rPr>
        <w:t>از بس که خیال می‏کند خللی در دماغ او پیدا شده ... در مُعمّا و عروض وقوفی تمام دارد» (ص 269). «مولانا شوقی از شُعرایی است که همین اسم شاعری دارند و بس</w:t>
      </w:r>
      <w:r w:rsidRPr="00047F0B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047F0B">
        <w:rPr>
          <w:rFonts w:ascii="B Nazanin" w:eastAsia="Times New Roman" w:hAnsi="B Nazanin" w:cs="B Nazanin"/>
          <w:sz w:val="28"/>
          <w:szCs w:val="28"/>
          <w:rtl/>
        </w:rPr>
        <w:t>این مطلع که به هیچ کار نمی‏آید از اوست</w:t>
      </w:r>
      <w:r w:rsidRPr="00047F0B">
        <w:rPr>
          <w:rFonts w:ascii="B Nazanin" w:eastAsia="Times New Roman" w:hAnsi="B Nazanin" w:cs="B Nazanin"/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43"/>
        <w:gridCol w:w="3522"/>
      </w:tblGrid>
      <w:tr w:rsidR="00047F0B" w:rsidRPr="00047F0B" w:rsidTr="00047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F0B" w:rsidRPr="00047F0B" w:rsidRDefault="00047F0B" w:rsidP="00047F0B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047F0B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چون سپهر از آتش مهرش تنم شد داغِ داغ </w:t>
            </w:r>
          </w:p>
        </w:tc>
        <w:tc>
          <w:tcPr>
            <w:tcW w:w="0" w:type="auto"/>
            <w:vAlign w:val="center"/>
            <w:hideMark/>
          </w:tcPr>
          <w:p w:rsidR="00047F0B" w:rsidRPr="00047F0B" w:rsidRDefault="00047F0B" w:rsidP="00047F0B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047F0B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از چراغِ عشق روشن کرده‏ام چندین چراغ </w:t>
            </w:r>
          </w:p>
        </w:tc>
      </w:tr>
    </w:tbl>
    <w:p w:rsidR="00047F0B" w:rsidRPr="00047F0B" w:rsidRDefault="00047F0B" w:rsidP="00047F0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47F0B">
        <w:rPr>
          <w:rFonts w:ascii="B Nazanin" w:eastAsia="Times New Roman" w:hAnsi="B Nazanin" w:cs="B Nazanin"/>
          <w:sz w:val="28"/>
          <w:szCs w:val="28"/>
        </w:rPr>
        <w:t>(</w:t>
      </w:r>
      <w:r w:rsidRPr="00047F0B">
        <w:rPr>
          <w:rFonts w:ascii="B Nazanin" w:eastAsia="Times New Roman" w:hAnsi="B Nazanin" w:cs="B Nazanin"/>
          <w:sz w:val="28"/>
          <w:szCs w:val="28"/>
          <w:rtl/>
        </w:rPr>
        <w:t>ص 285</w:t>
      </w:r>
      <w:r w:rsidRPr="00047F0B">
        <w:rPr>
          <w:rFonts w:ascii="B Nazanin" w:eastAsia="Times New Roman" w:hAnsi="B Nazanin" w:cs="B Nazanin"/>
          <w:sz w:val="28"/>
          <w:szCs w:val="28"/>
        </w:rPr>
        <w:t>)</w:t>
      </w:r>
    </w:p>
    <w:p w:rsidR="00047F0B" w:rsidRPr="00047F0B" w:rsidRDefault="00047F0B" w:rsidP="00047F0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47F0B">
        <w:rPr>
          <w:rFonts w:ascii="B Nazanin" w:eastAsia="Times New Roman" w:hAnsi="B Nazanin" w:cs="B Nazanin"/>
          <w:sz w:val="28"/>
          <w:szCs w:val="28"/>
          <w:rtl/>
        </w:rPr>
        <w:t xml:space="preserve">تحفه سامی تذکره شعرای نیمه دوم قرن نهم و نیمه اول قرنِ دهم زبان فارسی است و، افزون بر این، حاویِ نمونه‏هائی است از اشعارِ لطیف و هم سرشار است از عبارات و اصطلاحاتِ بدیع و دلنشینی مانند «بی‏روشی»، «اَبدال‏وَش»، «دیوانه‏وش»، «شهرانگیز </w:t>
      </w:r>
      <w:r w:rsidRPr="00047F0B">
        <w:rPr>
          <w:rFonts w:ascii="B Nazanin" w:eastAsia="Times New Roman" w:hAnsi="B Nazanin" w:cs="B Nazanin"/>
          <w:sz w:val="28"/>
          <w:szCs w:val="28"/>
        </w:rPr>
        <w:t>(</w:t>
      </w:r>
      <w:r w:rsidRPr="00047F0B">
        <w:rPr>
          <w:rFonts w:ascii="B Nazanin" w:eastAsia="Times New Roman" w:hAnsi="B Nazanin" w:cs="B Nazanin"/>
          <w:sz w:val="28"/>
          <w:szCs w:val="28"/>
          <w:rtl/>
        </w:rPr>
        <w:t>شهرآشوب)»، «شترگربه (شعرِ خوب و بد با هم)»، «تزریق‏گویی»، «کسب والابافی»، «شعرِ خام‏سوز در تنور خیال»، «به‏انگیز (طبعش در شعر به‏انگیز است)»، «نیازْ پاشیدن</w:t>
      </w:r>
      <w:r w:rsidRPr="00047F0B">
        <w:rPr>
          <w:rFonts w:ascii="B Nazanin" w:eastAsia="Times New Roman" w:hAnsi="B Nazanin" w:cs="B Nazanin"/>
          <w:sz w:val="28"/>
          <w:szCs w:val="28"/>
        </w:rPr>
        <w:t>»</w:t>
      </w:r>
      <w:r w:rsidRPr="00047F0B">
        <w:rPr>
          <w:rFonts w:ascii="B Nazanin" w:eastAsia="Times New Roman" w:hAnsi="B Nazanin" w:cs="B Nazanin"/>
          <w:sz w:val="28"/>
          <w:szCs w:val="28"/>
          <w:rtl/>
        </w:rPr>
        <w:t xml:space="preserve">، </w:t>
      </w:r>
      <w:r w:rsidRPr="00047F0B">
        <w:rPr>
          <w:rFonts w:ascii="B Nazanin" w:eastAsia="Times New Roman" w:hAnsi="B Nazanin" w:cs="B Nazanin"/>
          <w:sz w:val="28"/>
          <w:szCs w:val="28"/>
        </w:rPr>
        <w:t>«</w:t>
      </w:r>
      <w:r w:rsidRPr="00047F0B">
        <w:rPr>
          <w:rFonts w:ascii="B Nazanin" w:eastAsia="Times New Roman" w:hAnsi="B Nazanin" w:cs="B Nazanin"/>
          <w:sz w:val="28"/>
          <w:szCs w:val="28"/>
          <w:rtl/>
        </w:rPr>
        <w:t>کلّه‏خشکی»، «لوندمَشرب»، «اوباش‏وضع»، «چپانی/ چپانیان»، «خرگدایی</w:t>
      </w:r>
      <w:r w:rsidRPr="00047F0B">
        <w:rPr>
          <w:rFonts w:ascii="B Nazanin" w:eastAsia="Times New Roman" w:hAnsi="B Nazanin" w:cs="B Nazanin"/>
          <w:sz w:val="28"/>
          <w:szCs w:val="28"/>
        </w:rPr>
        <w:t>»...</w:t>
      </w:r>
    </w:p>
    <w:p w:rsidR="00047F0B" w:rsidRPr="00047F0B" w:rsidRDefault="00047F0B" w:rsidP="00047F0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47F0B">
        <w:rPr>
          <w:rFonts w:ascii="B Nazanin" w:eastAsia="Times New Roman" w:hAnsi="B Nazanin" w:cs="B Nazanin"/>
          <w:sz w:val="28"/>
          <w:szCs w:val="28"/>
          <w:rtl/>
        </w:rPr>
        <w:t>اهمیت اصلی و عمده این کتاب مخصوصاً در این است که بسیاری از آنچه در آن آمده در هیچ منبع دیگری یافت نمی‏شود و همین نکته می‏رساند که سام‏میرزا با تألیفِ تحفه واقعاً چه تحفه‏ای به عالمِ ادبیات فارسی اهدا کرده و چه خدمت ارزنده‏ای به زبان فارسی و فرهنگ ایران انجام داده است</w:t>
      </w:r>
      <w:r w:rsidRPr="00047F0B">
        <w:rPr>
          <w:rFonts w:ascii="B Nazanin" w:eastAsia="Times New Roman" w:hAnsi="B Nazanin" w:cs="B Nazanin"/>
          <w:sz w:val="28"/>
          <w:szCs w:val="28"/>
        </w:rPr>
        <w:t>.</w:t>
      </w:r>
    </w:p>
    <w:p w:rsidR="00047F0B" w:rsidRPr="00047F0B" w:rsidRDefault="00047F0B" w:rsidP="00047F0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47F0B">
        <w:rPr>
          <w:rFonts w:ascii="B Nazanin" w:eastAsia="Times New Roman" w:hAnsi="B Nazanin" w:cs="B Nazanin"/>
          <w:sz w:val="28"/>
          <w:szCs w:val="28"/>
          <w:rtl/>
        </w:rPr>
        <w:lastRenderedPageBreak/>
        <w:t>تحفه همچنین و مخصوصاً از لحاظ جامعه‏شناختی و مطالعاتِ اجتماعی در خور توجه و ارزشمند است. مثلاً از مطالعه آن معلوم می‏شود که بیشترِ شاعران ــ صرفِ نظر از سلاطین و سادات و</w:t>
      </w:r>
      <w:r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047F0B">
        <w:rPr>
          <w:rFonts w:ascii="B Nazanin" w:eastAsia="Times New Roman" w:hAnsi="B Nazanin" w:cs="B Nazanin"/>
          <w:sz w:val="28"/>
          <w:szCs w:val="28"/>
          <w:rtl/>
        </w:rPr>
        <w:t>عُلما و وزرا و ارباب قلم ــ از مُحتَرفه و پیشه‏وران بودند، از جمله ابریشم‏فروش، برزگر، بزّاز، بقّال، بنّا، بَیّاع، تاجدوز، تاجر، تکمه‏بند، حکّاک، حلاّج، خرّاط، خرده‏فروش، خوشنویس، خیّاط، دَف‏کش، دلاّل، رمّال، زَرَفْشان، زرکش، زرگر، سرّاج، سرتراش، سقّا، سیراب‏فروش، شاطر، شَعرباف، شکرریز، شمشیرگر، شیشه‏گر، صحّاف، صرّاف، طبّاخ، طبیب، عسل‏فروش، عصّار، عطّار، علاّف، علاقه‏بند، قاضی، قصّاب، قصّه‏خوان، کاتب، کاردگر، کاسه‏گر، کاغذفروش، کتابفروش، کتابه‏نویس، کحّال، کرباس‏فروش، کفشدور، کلیچه‏پز، کلیددار، کمرباف، گِلکار، لاجوردشو، متولی، مشک‏فروش، مصوِّر، معرکه‏گیر، معمار، مکتبدار، منشی، مویینه‏دوز، میوه‏فروش، نقّاش، و یخنی‏پز</w:t>
      </w:r>
      <w:r w:rsidRPr="00047F0B">
        <w:rPr>
          <w:rFonts w:ascii="B Nazanin" w:eastAsia="Times New Roman" w:hAnsi="B Nazanin" w:cs="B Nazanin"/>
          <w:sz w:val="28"/>
          <w:szCs w:val="28"/>
        </w:rPr>
        <w:t>.</w:t>
      </w:r>
    </w:p>
    <w:sectPr w:rsidR="00047F0B" w:rsidRPr="00047F0B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047F0B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47F0B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4B88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0FBB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924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4840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D05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2F2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BBE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0D9C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5D85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57F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7F0B"/>
    <w:rPr>
      <w:color w:val="0000FF"/>
      <w:u w:val="single"/>
    </w:rPr>
  </w:style>
  <w:style w:type="character" w:customStyle="1" w:styleId="pagecount">
    <w:name w:val="pagecount"/>
    <w:basedOn w:val="DefaultParagraphFont"/>
    <w:rsid w:val="00047F0B"/>
  </w:style>
  <w:style w:type="character" w:customStyle="1" w:styleId="pageno">
    <w:name w:val="pageno"/>
    <w:basedOn w:val="DefaultParagraphFont"/>
    <w:rsid w:val="00047F0B"/>
  </w:style>
  <w:style w:type="character" w:customStyle="1" w:styleId="magsimg">
    <w:name w:val="magsimg"/>
    <w:basedOn w:val="DefaultParagraphFont"/>
    <w:rsid w:val="00047F0B"/>
  </w:style>
  <w:style w:type="paragraph" w:styleId="NormalWeb">
    <w:name w:val="Normal (Web)"/>
    <w:basedOn w:val="Normal"/>
    <w:uiPriority w:val="99"/>
    <w:semiHidden/>
    <w:unhideWhenUsed/>
    <w:rsid w:val="00047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047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5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4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7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5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4493</Characters>
  <Application>Microsoft Office Word</Application>
  <DocSecurity>0</DocSecurity>
  <Lines>37</Lines>
  <Paragraphs>10</Paragraphs>
  <ScaleCrop>false</ScaleCrop>
  <Company>MRT www.Win2Farsi.com</Company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2010-07-15T15:21:00Z</dcterms:created>
  <dcterms:modified xsi:type="dcterms:W3CDTF">2010-07-15T15:24:00Z</dcterms:modified>
</cp:coreProperties>
</file>