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F90" w:rsidRPr="00B72F90" w:rsidRDefault="00B72F90" w:rsidP="00B72F90">
      <w:pPr>
        <w:bidi/>
        <w:spacing w:after="0" w:line="360" w:lineRule="auto"/>
        <w:jc w:val="lowKashida"/>
        <w:rPr>
          <w:rFonts w:ascii="B Nazanin" w:eastAsia="Times New Roman" w:hAnsi="B Nazanin" w:cs="B Nazanin"/>
          <w:b/>
          <w:bCs/>
          <w:sz w:val="28"/>
          <w:szCs w:val="28"/>
        </w:rPr>
      </w:pPr>
      <w:r w:rsidRPr="00B72F90">
        <w:rPr>
          <w:rFonts w:ascii="B Nazanin" w:eastAsia="Times New Roman" w:hAnsi="B Nazanin" w:cs="B Nazanin"/>
          <w:b/>
          <w:bCs/>
          <w:sz w:val="28"/>
          <w:szCs w:val="28"/>
          <w:rtl/>
        </w:rPr>
        <w:t>اینجا تهران است</w:t>
      </w:r>
    </w:p>
    <w:p w:rsidR="00B72F90" w:rsidRPr="00B72F90" w:rsidRDefault="00B72F90" w:rsidP="00B72F90">
      <w:pPr>
        <w:bidi/>
        <w:spacing w:after="0" w:line="360" w:lineRule="auto"/>
        <w:jc w:val="lowKashida"/>
        <w:rPr>
          <w:rFonts w:ascii="B Nazanin" w:eastAsia="Times New Roman" w:hAnsi="B Nazanin" w:cs="B Nazanin"/>
          <w:sz w:val="28"/>
          <w:szCs w:val="28"/>
        </w:rPr>
      </w:pPr>
      <w:r w:rsidRPr="00B72F90">
        <w:rPr>
          <w:rFonts w:ascii="B Nazanin" w:eastAsia="Times New Roman" w:hAnsi="B Nazanin" w:cs="B Nazanin"/>
          <w:b/>
          <w:bCs/>
          <w:sz w:val="28"/>
          <w:szCs w:val="28"/>
          <w:rtl/>
        </w:rPr>
        <w:t>نویسنده : آل داود، سید علی</w:t>
      </w:r>
    </w:p>
    <w:p w:rsidR="00B72F90" w:rsidRPr="00B72F90" w:rsidRDefault="00B72F90" w:rsidP="00B72F90">
      <w:pPr>
        <w:bidi/>
        <w:spacing w:after="0" w:line="360" w:lineRule="auto"/>
        <w:jc w:val="lowKashida"/>
        <w:rPr>
          <w:rFonts w:ascii="B Nazanin" w:eastAsia="Times New Roman" w:hAnsi="B Nazanin" w:cs="B Nazanin"/>
          <w:sz w:val="28"/>
          <w:szCs w:val="28"/>
        </w:rPr>
      </w:pP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t>اینجا طهران است ... . دکتر منصوره اتحادیه [نظام مافی]. تهران. نشر تاریخ ایران. 1377. 461ص</w:t>
      </w:r>
      <w:r w:rsidRPr="00B72F90">
        <w:rPr>
          <w:rFonts w:ascii="B Nazanin" w:eastAsia="Times New Roman" w:hAnsi="B Nazanin" w:cs="B Nazanin"/>
          <w:sz w:val="28"/>
          <w:szCs w:val="28"/>
        </w:rPr>
        <w:t>.</w:t>
      </w: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t xml:space="preserve">مجموعه مقالاتی است درباره مسائل مختلف تهران در محدوده زمانی سالهای 1269 تا </w:t>
      </w:r>
      <w:r w:rsidRPr="00B72F90">
        <w:rPr>
          <w:rFonts w:ascii="B Nazanin" w:eastAsia="Times New Roman" w:hAnsi="B Nazanin" w:cs="B Nazanin"/>
          <w:sz w:val="28"/>
          <w:szCs w:val="28"/>
        </w:rPr>
        <w:t>1344</w:t>
      </w:r>
      <w:r w:rsidRPr="00B72F90">
        <w:rPr>
          <w:rFonts w:ascii="B Nazanin" w:eastAsia="Times New Roman" w:hAnsi="B Nazanin" w:cs="B Nazanin"/>
          <w:sz w:val="28"/>
          <w:szCs w:val="28"/>
          <w:rtl/>
        </w:rPr>
        <w:t>ق، یعنی از اوایل سلطنت ناصرالدین‏شاه تا انقراض سلسله قاجاریه. این کتاب مشتمل بر 17 مقاله محققانه و خواندنی درباره شیوه زندگی در تهران قرن سیزدهم است و در آن موضوعات اجتماعی، فرهنگی، جمعیت، امنیت، درباره پلیس، موقوفات، خالصه‏جات، آذوقه شهر، زنان، تجارت و امثال آن مورد بحث قرار گرفته است. نویسنده اسناد متعدد را که در سازمانهای دولتی و در دست اشخاص است بررسی کرده است. در دهه‏های اخیر مقدار زیادی از این قبیل اسناد را محققان سازمانهای دولتی و دیگران انتشار داده‏اند؛ اما استفاده از سند و به اصطلاح تاریخ‏نگاری بر بنیاد آن کار آسانی نیست و مستلزم تبحّر فوق‏العاده است و محقق باید به نوعی روش تحقیقی مجهز باشد که در تفسیر آنها به پراکنده‏گویی و گزافه‏نویسی درنیفتد. ویژگی خاص نگارنده این کتاب، تبحّر او در تاریخ قاجاریه به‏ویژه نیمه دوم آن یعنی از آغاز عصر ناصرالدین شاه تا انقراض قاجارهاست، و تقریبا همگی آثار متعدد و متنوع او مربوط به مسائل این دوره است</w:t>
      </w:r>
      <w:r w:rsidRPr="00B72F90">
        <w:rPr>
          <w:rFonts w:ascii="B Nazanin" w:eastAsia="Times New Roman" w:hAnsi="B Nazanin" w:cs="B Nazanin"/>
          <w:sz w:val="28"/>
          <w:szCs w:val="28"/>
        </w:rPr>
        <w:t xml:space="preserve">. </w:t>
      </w:r>
      <w:r w:rsidRPr="00B72F90">
        <w:rPr>
          <w:rFonts w:ascii="B Nazanin" w:eastAsia="Times New Roman" w:hAnsi="B Nazanin" w:cs="B Nazanin"/>
          <w:sz w:val="28"/>
          <w:szCs w:val="28"/>
          <w:rtl/>
        </w:rPr>
        <w:t>ویژگی دیگر این اثر دیدگاه تازه‏ای است که در تحلیل آثار و اسناد موجود این زمان به کار رفته و به مسائل و گوشه‏های ناشناخته‏ای توجه شده که تاکنون مورد عنایت مورخان نبوده است</w:t>
      </w:r>
      <w:r w:rsidRPr="00B72F90">
        <w:rPr>
          <w:rFonts w:ascii="B Nazanin" w:eastAsia="Times New Roman" w:hAnsi="B Nazanin" w:cs="B Nazanin"/>
          <w:sz w:val="28"/>
          <w:szCs w:val="28"/>
        </w:rPr>
        <w:t>.</w:t>
      </w: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t>کتاب حاوی دیباچه و 17 مقاله است و هرمقاله به موضوعی اختصاص یافته که تقریبا در دیگر آثار مربوط به تهران به‏طور جدی به آن پرداخته نشده است و نویسنده در حقیقت با دریافتهای نو به سراغ اسناد کهن رفته است. اینک نگاهی اجمالی به مندرجات مقالات</w:t>
      </w:r>
      <w:r w:rsidRPr="00B72F90">
        <w:rPr>
          <w:rFonts w:ascii="B Nazanin" w:eastAsia="Times New Roman" w:hAnsi="B Nazanin" w:cs="B Nazanin"/>
          <w:sz w:val="28"/>
          <w:szCs w:val="28"/>
        </w:rPr>
        <w:t>:</w:t>
      </w: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lastRenderedPageBreak/>
        <w:t>در دیباچه مطالبی راجع به تهران از عصر انتخاب آن به پایتختی تا پایان عصر قاجار بیان شده و سپس توضیح کلی درباره کتاب آمده است</w:t>
      </w:r>
      <w:r w:rsidRPr="00B72F90">
        <w:rPr>
          <w:rFonts w:ascii="B Nazanin" w:eastAsia="Times New Roman" w:hAnsi="B Nazanin" w:cs="B Nazanin"/>
          <w:sz w:val="28"/>
          <w:szCs w:val="28"/>
        </w:rPr>
        <w:t>.</w:t>
      </w: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t>موضوع گفتار اول «داد و ستد و توسعه شهر تهران در دوره ناصری، 1269 تا 1320ق</w:t>
      </w:r>
      <w:r w:rsidRPr="00B72F90">
        <w:rPr>
          <w:rFonts w:ascii="B Nazanin" w:eastAsia="Times New Roman" w:hAnsi="B Nazanin" w:cs="B Nazanin"/>
          <w:sz w:val="28"/>
          <w:szCs w:val="28"/>
        </w:rPr>
        <w:t xml:space="preserve">» </w:t>
      </w:r>
      <w:r w:rsidRPr="00B72F90">
        <w:rPr>
          <w:rFonts w:ascii="B Nazanin" w:eastAsia="Times New Roman" w:hAnsi="B Nazanin" w:cs="B Nazanin"/>
          <w:sz w:val="28"/>
          <w:szCs w:val="28"/>
          <w:rtl/>
        </w:rPr>
        <w:t>است. در این مقاله مسئله جمعیت شهر و افزایش تدریجی و ترکیب آن بررسی شده است</w:t>
      </w:r>
      <w:r w:rsidRPr="00B72F90">
        <w:rPr>
          <w:rFonts w:ascii="B Nazanin" w:eastAsia="Times New Roman" w:hAnsi="B Nazanin" w:cs="B Nazanin"/>
          <w:sz w:val="28"/>
          <w:szCs w:val="28"/>
        </w:rPr>
        <w:t xml:space="preserve">. </w:t>
      </w:r>
      <w:r w:rsidRPr="00B72F90">
        <w:rPr>
          <w:rFonts w:ascii="B Nazanin" w:eastAsia="Times New Roman" w:hAnsi="B Nazanin" w:cs="B Nazanin"/>
          <w:sz w:val="28"/>
          <w:szCs w:val="28"/>
          <w:rtl/>
        </w:rPr>
        <w:t xml:space="preserve">جمعیت تهران در زمانی که آقامحمّدخان آن را به پایتختی برگزید درحدود 15000 تا </w:t>
      </w:r>
      <w:r w:rsidRPr="00B72F90">
        <w:rPr>
          <w:rFonts w:ascii="B Nazanin" w:eastAsia="Times New Roman" w:hAnsi="B Nazanin" w:cs="B Nazanin"/>
          <w:sz w:val="28"/>
          <w:szCs w:val="28"/>
        </w:rPr>
        <w:t xml:space="preserve">30000 </w:t>
      </w:r>
      <w:r w:rsidRPr="00B72F90">
        <w:rPr>
          <w:rFonts w:ascii="B Nazanin" w:eastAsia="Times New Roman" w:hAnsi="B Nazanin" w:cs="B Nazanin"/>
          <w:sz w:val="28"/>
          <w:szCs w:val="28"/>
          <w:rtl/>
        </w:rPr>
        <w:t xml:space="preserve">نفر بود لیکن برخی از سیاحتگران خارجی ساکنان تهران را در آن زمان درحدود </w:t>
      </w:r>
      <w:r w:rsidRPr="00B72F90">
        <w:rPr>
          <w:rFonts w:ascii="B Nazanin" w:eastAsia="Times New Roman" w:hAnsi="B Nazanin" w:cs="B Nazanin"/>
          <w:sz w:val="28"/>
          <w:szCs w:val="28"/>
        </w:rPr>
        <w:t xml:space="preserve">50000 </w:t>
      </w:r>
      <w:r w:rsidRPr="00B72F90">
        <w:rPr>
          <w:rFonts w:ascii="B Nazanin" w:eastAsia="Times New Roman" w:hAnsi="B Nazanin" w:cs="B Nazanin"/>
          <w:sz w:val="28"/>
          <w:szCs w:val="28"/>
          <w:rtl/>
        </w:rPr>
        <w:t>نفر تخمین زده‏اند. در دوران ناصرالدین‏شاه چندبار آمارهای مختلف برای تهران فراهم شد که گفتار حاضر بررسی این اسناد است</w:t>
      </w:r>
      <w:r w:rsidRPr="00B72F90">
        <w:rPr>
          <w:rFonts w:ascii="B Nazanin" w:eastAsia="Times New Roman" w:hAnsi="B Nazanin" w:cs="B Nazanin"/>
          <w:sz w:val="28"/>
          <w:szCs w:val="28"/>
        </w:rPr>
        <w:t>.</w:t>
      </w: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t>گفتار دوم «تهران کانون فرهنگی ایران در عصر قاجار» است. در اینجا نویسنده به جای ارائه سخنان کلی، شیوه‏ای نو در تحلیل مسئله به کار بسته است به این معنی که سه کتاب ارزنده، یعنی فهرست نسخه‏های خطّی فارسیِ احمد منزوی، فهرست کتابهای چاپیِ خانبابا مشار و تاریخ جرائد و مجلاتِ صدرهاشمی را آماربندی و تقسیم‏بندی کرده و براساس آن محصولات فرهنگی شهر تهران را در این عصر با اعصار قبل و همچنین با شهرهای دیگر مقایسه کرده است</w:t>
      </w:r>
      <w:r w:rsidRPr="00B72F90">
        <w:rPr>
          <w:rFonts w:ascii="B Nazanin" w:eastAsia="Times New Roman" w:hAnsi="B Nazanin" w:cs="B Nazanin"/>
          <w:sz w:val="28"/>
          <w:szCs w:val="28"/>
        </w:rPr>
        <w:t>.</w:t>
      </w: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t>گفتار سوم «خاطرات رجال قاجار و بررسی روابط درباریان» است. در اینجا متون خاطرات موجود رجال سیاسی آن روزگار بررسی شده است. این مقاله تنها گفتار کتاب است که تناسب مستقیم با سایر مندرجات آن ندارد</w:t>
      </w:r>
      <w:r w:rsidRPr="00B72F90">
        <w:rPr>
          <w:rFonts w:ascii="B Nazanin" w:eastAsia="Times New Roman" w:hAnsi="B Nazanin" w:cs="B Nazanin"/>
          <w:sz w:val="28"/>
          <w:szCs w:val="28"/>
        </w:rPr>
        <w:t>.</w:t>
      </w: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t xml:space="preserve">گفتار چهارم «بافت اجتماعی، اقتصادی بازار تهران و محله بازار در نیمه دوم قرن </w:t>
      </w:r>
      <w:r w:rsidRPr="00B72F90">
        <w:rPr>
          <w:rFonts w:ascii="B Nazanin" w:eastAsia="Times New Roman" w:hAnsi="B Nazanin" w:cs="B Nazanin"/>
          <w:sz w:val="28"/>
          <w:szCs w:val="28"/>
        </w:rPr>
        <w:t xml:space="preserve">13 </w:t>
      </w:r>
      <w:r w:rsidRPr="00B72F90">
        <w:rPr>
          <w:rFonts w:ascii="B Nazanin" w:eastAsia="Times New Roman" w:hAnsi="B Nazanin" w:cs="B Nazanin"/>
          <w:sz w:val="28"/>
          <w:szCs w:val="28"/>
          <w:rtl/>
        </w:rPr>
        <w:t xml:space="preserve">ه » همراه ضمیمه‏ای به نام «فهرست </w:t>
      </w: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t xml:space="preserve">دکانها و مشاغل و حرف در تهران سال 1269ق و 1320ق» است. در این زمان یعنی سال </w:t>
      </w:r>
      <w:r w:rsidRPr="00B72F90">
        <w:rPr>
          <w:rFonts w:ascii="B Nazanin" w:eastAsia="Times New Roman" w:hAnsi="B Nazanin" w:cs="B Nazanin"/>
          <w:sz w:val="28"/>
          <w:szCs w:val="28"/>
        </w:rPr>
        <w:t xml:space="preserve">1269 </w:t>
      </w:r>
      <w:r w:rsidRPr="00B72F90">
        <w:rPr>
          <w:rFonts w:ascii="B Nazanin" w:eastAsia="Times New Roman" w:hAnsi="B Nazanin" w:cs="B Nazanin"/>
          <w:sz w:val="28"/>
          <w:szCs w:val="28"/>
          <w:rtl/>
        </w:rPr>
        <w:t>هنوز بازار تهران کوچک بود و کارگاههای صنعتی و تجاری در آن دایر نشده بود</w:t>
      </w:r>
      <w:r w:rsidRPr="00B72F90">
        <w:rPr>
          <w:rFonts w:ascii="B Nazanin" w:eastAsia="Times New Roman" w:hAnsi="B Nazanin" w:cs="B Nazanin"/>
          <w:sz w:val="28"/>
          <w:szCs w:val="28"/>
        </w:rPr>
        <w:t>.</w:t>
      </w: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lastRenderedPageBreak/>
        <w:t>عنوان گفتار پنجم «جنایت و مکافات و امنیت در تهران عصر ناصری» است و در آن گزارش شروع به کار و فعالیتهای کنت دومونت فرت ایتالیایی نخستین رئیس پلیس ایران که در 1295ق کار را رسما آغاز کرده، آمده است. کنت قانونی تهیه کرد و با توشیح شاه، رعایت آن را برای همگان اجباری و الزامی کرد. این قانون را می‏توان قدیم‏ترین قانون مجازات ایران به شیوه نوین به شمار آورد. نگارنده در مقاله‏ای دیگر این موضوع را بررسی خواهد کرد</w:t>
      </w:r>
      <w:r w:rsidRPr="00B72F90">
        <w:rPr>
          <w:rFonts w:ascii="B Nazanin" w:eastAsia="Times New Roman" w:hAnsi="B Nazanin" w:cs="B Nazanin"/>
          <w:sz w:val="28"/>
          <w:szCs w:val="28"/>
        </w:rPr>
        <w:t>.</w:t>
      </w: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t>گفتار ششم درباره خرید و فروش زمین در تهران براساس 134 نامه خصوصی از سالهای انتهایی پادشاهی ناصرالدین‏شاه است. موضوع نامه‏ها خرید وفروش زمین و شیوه پرداخت بهای آن در آن روزگار است</w:t>
      </w:r>
      <w:r w:rsidRPr="00B72F90">
        <w:rPr>
          <w:rFonts w:ascii="B Nazanin" w:eastAsia="Times New Roman" w:hAnsi="B Nazanin" w:cs="B Nazanin"/>
          <w:sz w:val="28"/>
          <w:szCs w:val="28"/>
        </w:rPr>
        <w:t>.</w:t>
      </w: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t xml:space="preserve">موضوع گفتار هفتم، موقوفات تهران و تحول شهر باز هم در میانه سالهای 1269 تا </w:t>
      </w:r>
      <w:r w:rsidRPr="00B72F90">
        <w:rPr>
          <w:rFonts w:ascii="B Nazanin" w:eastAsia="Times New Roman" w:hAnsi="B Nazanin" w:cs="B Nazanin"/>
          <w:sz w:val="28"/>
          <w:szCs w:val="28"/>
        </w:rPr>
        <w:t>1320</w:t>
      </w:r>
      <w:r w:rsidRPr="00B72F90">
        <w:rPr>
          <w:rFonts w:ascii="B Nazanin" w:eastAsia="Times New Roman" w:hAnsi="B Nazanin" w:cs="B Nazanin"/>
          <w:sz w:val="28"/>
          <w:szCs w:val="28"/>
          <w:rtl/>
        </w:rPr>
        <w:t>ق است. در اینجا انواع موقوفه‏های تهران و واقفین تا جایی که منابع اجازه داده معرفی شده‏اند</w:t>
      </w:r>
      <w:r w:rsidRPr="00B72F90">
        <w:rPr>
          <w:rFonts w:ascii="B Nazanin" w:eastAsia="Times New Roman" w:hAnsi="B Nazanin" w:cs="B Nazanin"/>
          <w:sz w:val="28"/>
          <w:szCs w:val="28"/>
        </w:rPr>
        <w:t>.</w:t>
      </w: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t>عنوان گفتار هشتم «تهران و املاک خالصه ورامین» است. توصیف دهات تهران، قحطی‏های مکرّر و تدارک مسئله نان برای تهران و زمینهای خالصه عناوین فرعی این بخش است</w:t>
      </w:r>
      <w:r w:rsidRPr="00B72F90">
        <w:rPr>
          <w:rFonts w:ascii="B Nazanin" w:eastAsia="Times New Roman" w:hAnsi="B Nazanin" w:cs="B Nazanin"/>
          <w:sz w:val="28"/>
          <w:szCs w:val="28"/>
        </w:rPr>
        <w:t>.</w:t>
      </w: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t>گفتار نهم در موضوع «واردات دروازه‏های تهران» و خروج غله از آنها در یک سال قحطی است. گفتارهای دهم و یازدهم مختص بررسی مسائل زنان است و موقعیت اجتماعی آنان و فعالیت این قشر در انقلاب مشروطه گزارش شده است. دو گفتار بعد درباب مسائل صرافی و تجارت در تهران است و ضمن آن اسناد یکی از صرافهای مشهور تهران و روابط تجار و صرافها بررسی شده است</w:t>
      </w:r>
      <w:r w:rsidRPr="00B72F90">
        <w:rPr>
          <w:rFonts w:ascii="B Nazanin" w:eastAsia="Times New Roman" w:hAnsi="B Nazanin" w:cs="B Nazanin"/>
          <w:sz w:val="28"/>
          <w:szCs w:val="28"/>
        </w:rPr>
        <w:t>.</w:t>
      </w: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t>گفتار چهاردهم درباب روابط تجاری حاجی رحیم اتحادیه تاجر تهرانی با انگلیسی‏ها در دوره جنگ جهانی اول است. در این زمان انگلیسیان فهرست سیاهی از تجار ایرانی که با آلمانیها مراودات تجاری داشتند برای خود فراهم آوردند تا در موقع لازم آنان را تحت فشار قرار دهند</w:t>
      </w:r>
      <w:r w:rsidRPr="00B72F90">
        <w:rPr>
          <w:rFonts w:ascii="B Nazanin" w:eastAsia="Times New Roman" w:hAnsi="B Nazanin" w:cs="B Nazanin"/>
          <w:sz w:val="28"/>
          <w:szCs w:val="28"/>
        </w:rPr>
        <w:t>.</w:t>
      </w: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lastRenderedPageBreak/>
        <w:t>گفتار پانزدهم با عنوان «اجاره و اجاره‏نشینی در تهران» از جمله اهم مقالات این مجموعه و یکی از نخستین پژوهشهایی است که درباره موضوع اجاره‏نشینی در دوران قاجاریه نوشته شده است. موضوع آن اجاره مستغلات، دکاکین و عمارات در چند نقطه تهران و شیوه افزایش مال‏الاجاره براساس تورّم است</w:t>
      </w:r>
      <w:r w:rsidRPr="00B72F90">
        <w:rPr>
          <w:rFonts w:ascii="B Nazanin" w:eastAsia="Times New Roman" w:hAnsi="B Nazanin" w:cs="B Nazanin"/>
          <w:sz w:val="28"/>
          <w:szCs w:val="28"/>
        </w:rPr>
        <w:t>.</w:t>
      </w: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t>در گفتار شانزدهم ماجرای اجاره مالیات توتون و تنباکو در کردستان بررسی شده و آخرین گفتار کتاب به شیوه زندگی یک دانشجوی ایرانی در آلمان در سالهای پایانی دوره قاجار اختصاص یافته است</w:t>
      </w:r>
      <w:r w:rsidRPr="00B72F90">
        <w:rPr>
          <w:rFonts w:ascii="B Nazanin" w:eastAsia="Times New Roman" w:hAnsi="B Nazanin" w:cs="B Nazanin"/>
          <w:sz w:val="28"/>
          <w:szCs w:val="28"/>
        </w:rPr>
        <w:t>.</w:t>
      </w:r>
    </w:p>
    <w:p w:rsidR="00B72F90" w:rsidRPr="00B72F90" w:rsidRDefault="00B72F90" w:rsidP="00B72F90">
      <w:pPr>
        <w:bidi/>
        <w:spacing w:before="100" w:beforeAutospacing="1" w:after="100" w:afterAutospacing="1" w:line="360" w:lineRule="auto"/>
        <w:jc w:val="lowKashida"/>
        <w:rPr>
          <w:rFonts w:ascii="B Nazanin" w:eastAsia="Times New Roman" w:hAnsi="B Nazanin" w:cs="B Nazanin"/>
          <w:sz w:val="28"/>
          <w:szCs w:val="28"/>
        </w:rPr>
      </w:pPr>
      <w:r w:rsidRPr="00B72F90">
        <w:rPr>
          <w:rFonts w:ascii="B Nazanin" w:eastAsia="Times New Roman" w:hAnsi="B Nazanin" w:cs="B Nazanin"/>
          <w:sz w:val="28"/>
          <w:szCs w:val="28"/>
          <w:rtl/>
        </w:rPr>
        <w:t>اینجا طهران است ... از حیث دامنه تحقیق و ورود در عرصه‏های جدید و تحلیل بسیاری ناگفته‏ها درباب تهرانِ عصر قاجار، اثری ارزنده و ممتاز است و جا دارد که نویسنده با همین سبک و سیاق مطالعات خود را درباب تهران قدیم گسترش دهد و تاریخ زندگانی مردم را در اعصار گذشته این شهر با اتّکاء بر اسناد نویافته بررسی و تدوین کند</w:t>
      </w:r>
      <w:r w:rsidRPr="00B72F90">
        <w:rPr>
          <w:rFonts w:ascii="B Nazanin" w:eastAsia="Times New Roman" w:hAnsi="B Nazanin" w:cs="B Nazanin"/>
          <w:sz w:val="28"/>
          <w:szCs w:val="28"/>
        </w:rPr>
        <w:t>.</w:t>
      </w:r>
    </w:p>
    <w:sectPr w:rsidR="00B72F90" w:rsidRPr="00B72F90"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B72F90"/>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2F90"/>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2F90"/>
    <w:rPr>
      <w:color w:val="0000FF"/>
      <w:u w:val="single"/>
    </w:rPr>
  </w:style>
  <w:style w:type="character" w:customStyle="1" w:styleId="pagecount">
    <w:name w:val="pagecount"/>
    <w:basedOn w:val="DefaultParagraphFont"/>
    <w:rsid w:val="00B72F90"/>
  </w:style>
  <w:style w:type="character" w:customStyle="1" w:styleId="pageno">
    <w:name w:val="pageno"/>
    <w:basedOn w:val="DefaultParagraphFont"/>
    <w:rsid w:val="00B72F90"/>
  </w:style>
  <w:style w:type="character" w:customStyle="1" w:styleId="magsimg">
    <w:name w:val="magsimg"/>
    <w:basedOn w:val="DefaultParagraphFont"/>
    <w:rsid w:val="00B72F90"/>
  </w:style>
  <w:style w:type="paragraph" w:styleId="NormalWeb">
    <w:name w:val="Normal (Web)"/>
    <w:basedOn w:val="Normal"/>
    <w:uiPriority w:val="99"/>
    <w:semiHidden/>
    <w:unhideWhenUsed/>
    <w:rsid w:val="00B72F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B72F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6616503">
      <w:bodyDiv w:val="1"/>
      <w:marLeft w:val="0"/>
      <w:marRight w:val="0"/>
      <w:marTop w:val="0"/>
      <w:marBottom w:val="0"/>
      <w:divBdr>
        <w:top w:val="none" w:sz="0" w:space="0" w:color="auto"/>
        <w:left w:val="none" w:sz="0" w:space="0" w:color="auto"/>
        <w:bottom w:val="none" w:sz="0" w:space="0" w:color="auto"/>
        <w:right w:val="none" w:sz="0" w:space="0" w:color="auto"/>
      </w:divBdr>
      <w:divsChild>
        <w:div w:id="1463117296">
          <w:marLeft w:val="0"/>
          <w:marRight w:val="0"/>
          <w:marTop w:val="0"/>
          <w:marBottom w:val="0"/>
          <w:divBdr>
            <w:top w:val="none" w:sz="0" w:space="0" w:color="auto"/>
            <w:left w:val="none" w:sz="0" w:space="0" w:color="auto"/>
            <w:bottom w:val="none" w:sz="0" w:space="0" w:color="auto"/>
            <w:right w:val="none" w:sz="0" w:space="0" w:color="auto"/>
          </w:divBdr>
          <w:divsChild>
            <w:div w:id="1688364357">
              <w:marLeft w:val="0"/>
              <w:marRight w:val="0"/>
              <w:marTop w:val="0"/>
              <w:marBottom w:val="0"/>
              <w:divBdr>
                <w:top w:val="none" w:sz="0" w:space="0" w:color="auto"/>
                <w:left w:val="none" w:sz="0" w:space="0" w:color="auto"/>
                <w:bottom w:val="none" w:sz="0" w:space="0" w:color="auto"/>
                <w:right w:val="none" w:sz="0" w:space="0" w:color="auto"/>
              </w:divBdr>
              <w:divsChild>
                <w:div w:id="808205484">
                  <w:marLeft w:val="0"/>
                  <w:marRight w:val="0"/>
                  <w:marTop w:val="0"/>
                  <w:marBottom w:val="0"/>
                  <w:divBdr>
                    <w:top w:val="none" w:sz="0" w:space="0" w:color="auto"/>
                    <w:left w:val="none" w:sz="0" w:space="0" w:color="auto"/>
                    <w:bottom w:val="none" w:sz="0" w:space="0" w:color="auto"/>
                    <w:right w:val="none" w:sz="0" w:space="0" w:color="auto"/>
                  </w:divBdr>
                </w:div>
                <w:div w:id="665673663">
                  <w:marLeft w:val="0"/>
                  <w:marRight w:val="0"/>
                  <w:marTop w:val="0"/>
                  <w:marBottom w:val="0"/>
                  <w:divBdr>
                    <w:top w:val="none" w:sz="0" w:space="0" w:color="auto"/>
                    <w:left w:val="none" w:sz="0" w:space="0" w:color="auto"/>
                    <w:bottom w:val="none" w:sz="0" w:space="0" w:color="auto"/>
                    <w:right w:val="none" w:sz="0" w:space="0" w:color="auto"/>
                  </w:divBdr>
                </w:div>
                <w:div w:id="1167863055">
                  <w:marLeft w:val="0"/>
                  <w:marRight w:val="0"/>
                  <w:marTop w:val="0"/>
                  <w:marBottom w:val="0"/>
                  <w:divBdr>
                    <w:top w:val="none" w:sz="0" w:space="0" w:color="auto"/>
                    <w:left w:val="none" w:sz="0" w:space="0" w:color="auto"/>
                    <w:bottom w:val="none" w:sz="0" w:space="0" w:color="auto"/>
                    <w:right w:val="none" w:sz="0" w:space="0" w:color="auto"/>
                  </w:divBdr>
                </w:div>
                <w:div w:id="703675011">
                  <w:marLeft w:val="0"/>
                  <w:marRight w:val="0"/>
                  <w:marTop w:val="0"/>
                  <w:marBottom w:val="0"/>
                  <w:divBdr>
                    <w:top w:val="none" w:sz="0" w:space="0" w:color="auto"/>
                    <w:left w:val="none" w:sz="0" w:space="0" w:color="auto"/>
                    <w:bottom w:val="none" w:sz="0" w:space="0" w:color="auto"/>
                    <w:right w:val="none" w:sz="0" w:space="0" w:color="auto"/>
                  </w:divBdr>
                </w:div>
                <w:div w:id="1285693174">
                  <w:marLeft w:val="0"/>
                  <w:marRight w:val="0"/>
                  <w:marTop w:val="0"/>
                  <w:marBottom w:val="0"/>
                  <w:divBdr>
                    <w:top w:val="none" w:sz="0" w:space="0" w:color="auto"/>
                    <w:left w:val="none" w:sz="0" w:space="0" w:color="auto"/>
                    <w:bottom w:val="none" w:sz="0" w:space="0" w:color="auto"/>
                    <w:right w:val="none" w:sz="0" w:space="0" w:color="auto"/>
                  </w:divBdr>
                </w:div>
              </w:divsChild>
            </w:div>
            <w:div w:id="193614452">
              <w:marLeft w:val="0"/>
              <w:marRight w:val="0"/>
              <w:marTop w:val="0"/>
              <w:marBottom w:val="0"/>
              <w:divBdr>
                <w:top w:val="none" w:sz="0" w:space="0" w:color="auto"/>
                <w:left w:val="none" w:sz="0" w:space="0" w:color="auto"/>
                <w:bottom w:val="none" w:sz="0" w:space="0" w:color="auto"/>
                <w:right w:val="none" w:sz="0" w:space="0" w:color="auto"/>
              </w:divBdr>
              <w:divsChild>
                <w:div w:id="620188618">
                  <w:marLeft w:val="0"/>
                  <w:marRight w:val="0"/>
                  <w:marTop w:val="0"/>
                  <w:marBottom w:val="0"/>
                  <w:divBdr>
                    <w:top w:val="none" w:sz="0" w:space="0" w:color="auto"/>
                    <w:left w:val="none" w:sz="0" w:space="0" w:color="auto"/>
                    <w:bottom w:val="none" w:sz="0" w:space="0" w:color="auto"/>
                    <w:right w:val="none" w:sz="0" w:space="0" w:color="auto"/>
                  </w:divBdr>
                </w:div>
              </w:divsChild>
            </w:div>
            <w:div w:id="1113938165">
              <w:marLeft w:val="0"/>
              <w:marRight w:val="0"/>
              <w:marTop w:val="0"/>
              <w:marBottom w:val="0"/>
              <w:divBdr>
                <w:top w:val="none" w:sz="0" w:space="0" w:color="auto"/>
                <w:left w:val="none" w:sz="0" w:space="0" w:color="auto"/>
                <w:bottom w:val="none" w:sz="0" w:space="0" w:color="auto"/>
                <w:right w:val="none" w:sz="0" w:space="0" w:color="auto"/>
              </w:divBdr>
              <w:divsChild>
                <w:div w:id="13583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4396</Characters>
  <Application>Microsoft Office Word</Application>
  <DocSecurity>0</DocSecurity>
  <Lines>36</Lines>
  <Paragraphs>10</Paragraphs>
  <ScaleCrop>false</ScaleCrop>
  <Company>MRT www.Win2Farsi.com</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2010-07-15T15:07:00Z</dcterms:created>
  <dcterms:modified xsi:type="dcterms:W3CDTF">2010-07-15T15:09:00Z</dcterms:modified>
</cp:coreProperties>
</file>