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236" w:rsidRPr="001C5236" w:rsidRDefault="001C5236" w:rsidP="001C5236">
      <w:pPr>
        <w:bidi/>
        <w:spacing w:after="0" w:line="360" w:lineRule="auto"/>
        <w:jc w:val="lowKashida"/>
        <w:rPr>
          <w:rFonts w:ascii="B Nazanin" w:eastAsia="Times New Roman" w:hAnsi="B Nazanin" w:cs="B Nazanin"/>
          <w:b/>
          <w:bCs/>
          <w:sz w:val="28"/>
          <w:szCs w:val="28"/>
        </w:rPr>
      </w:pPr>
      <w:r w:rsidRPr="001C5236">
        <w:rPr>
          <w:rFonts w:ascii="B Nazanin" w:eastAsia="Times New Roman" w:hAnsi="B Nazanin" w:cs="B Nazanin"/>
          <w:b/>
          <w:bCs/>
          <w:sz w:val="28"/>
          <w:szCs w:val="28"/>
          <w:rtl/>
        </w:rPr>
        <w:t>گامهایی استوار در پیشبرد «شاهنامه شناسی</w:t>
      </w:r>
    </w:p>
    <w:p w:rsidR="001C5236" w:rsidRPr="001C5236" w:rsidRDefault="001C5236" w:rsidP="001C5236">
      <w:pPr>
        <w:bidi/>
        <w:spacing w:after="0" w:line="360" w:lineRule="auto"/>
        <w:jc w:val="lowKashida"/>
        <w:rPr>
          <w:rFonts w:ascii="B Nazanin" w:eastAsia="Times New Roman" w:hAnsi="B Nazanin" w:cs="B Nazanin"/>
          <w:b/>
          <w:bCs/>
          <w:sz w:val="28"/>
          <w:szCs w:val="28"/>
        </w:rPr>
      </w:pPr>
      <w:r w:rsidRPr="001C5236">
        <w:rPr>
          <w:rFonts w:ascii="B Nazanin" w:eastAsia="Times New Roman" w:hAnsi="B Nazanin" w:cs="B Nazanin"/>
          <w:b/>
          <w:bCs/>
          <w:sz w:val="28"/>
          <w:szCs w:val="28"/>
          <w:rtl/>
        </w:rPr>
        <w:t>نویسنده : خطیبی، ابوالفضل</w:t>
      </w:r>
    </w:p>
    <w:p w:rsidR="001C5236" w:rsidRPr="001C5236" w:rsidRDefault="001C5236" w:rsidP="001C5236">
      <w:pPr>
        <w:bidi/>
        <w:spacing w:after="0" w:line="360" w:lineRule="auto"/>
        <w:jc w:val="lowKashida"/>
        <w:rPr>
          <w:rFonts w:ascii="B Nazanin" w:eastAsia="Times New Roman" w:hAnsi="B Nazanin" w:cs="B Nazanin"/>
          <w:sz w:val="28"/>
          <w:szCs w:val="28"/>
        </w:rPr>
      </w:pPr>
    </w:p>
    <w:p w:rsidR="001C5236" w:rsidRPr="001C5236" w:rsidRDefault="001C5236" w:rsidP="001C5236">
      <w:pPr>
        <w:bidi/>
        <w:spacing w:before="100" w:beforeAutospacing="1" w:after="100" w:afterAutospacing="1" w:line="360" w:lineRule="auto"/>
        <w:jc w:val="lowKashida"/>
        <w:rPr>
          <w:rFonts w:ascii="B Nazanin" w:eastAsia="Times New Roman" w:hAnsi="B Nazanin" w:cs="B Nazanin"/>
          <w:sz w:val="28"/>
          <w:szCs w:val="28"/>
        </w:rPr>
      </w:pPr>
      <w:r w:rsidRPr="001C5236">
        <w:rPr>
          <w:rFonts w:ascii="B Nazanin" w:eastAsia="Times New Roman" w:hAnsi="B Nazanin" w:cs="B Nazanin"/>
          <w:sz w:val="28"/>
          <w:szCs w:val="28"/>
          <w:rtl/>
        </w:rPr>
        <w:t>درگذشته نه چندان دور، تحقیقات جدّی ایران‏شناسی تاحدی منحصر به محققان اروپایی و آمریکایی بود و ایشان نقش اصلی در پیشبرد این‏گونه تحقیقات داشتند. امّا در چند دهه اخیر در عرصه‏های گوناگون ایران‏شناسی، تحقیقات جدّیِ ایرانیان دانشمند را در داخل و خارج ایران به‏هیچ‏روی نمی‏توان نادیده گرفت و آثار محققانه آنان به‏ویژه در معتبرترین نشریه‏ها و دانشنامه‏های چاپ خارج کشور از تحولی مهم در این زمینه نشان دارد. این تحول خاصّه در زمینه شاهنامهشناسی بارزتر و نمایان‏تر است؛ تا آنجا که به جرئت می‏توان گفت در سه‏چهار دهه اخیر شاهنامهشناسان ایرانی در پیشبرد شاهنامهشناسی، چه در زمینه تحقیق و چه در تصحیح متن، نقش اصلی و کلیدی داشته‏اند</w:t>
      </w:r>
      <w:r w:rsidRPr="001C5236">
        <w:rPr>
          <w:rFonts w:ascii="B Nazanin" w:eastAsia="Times New Roman" w:hAnsi="B Nazanin" w:cs="B Nazanin"/>
          <w:sz w:val="28"/>
          <w:szCs w:val="28"/>
        </w:rPr>
        <w:t xml:space="preserve">. </w:t>
      </w:r>
      <w:r w:rsidRPr="001C5236">
        <w:rPr>
          <w:rFonts w:ascii="B Nazanin" w:eastAsia="Times New Roman" w:hAnsi="B Nazanin" w:cs="B Nazanin"/>
          <w:sz w:val="28"/>
          <w:szCs w:val="28"/>
          <w:rtl/>
        </w:rPr>
        <w:t>امّا محققانی که در داخل ایران به کار تحقیق در زمینه ایران‏شناسی اشتغال دارند، با کتابها و مجله‏های جدید در این زمینه کمتر آشنایند. چه بسیارند محققانی که برای یافتن مقاله‏ای جدید ـ یا حتی قدیمی ـ همه کتابخانه‏ها و مراکز پروهشی را زیرپا می‏گذراند و نمی‏یابند. بزرگترین کتابخانه‏ها و مراکز پژوهشی پایتخت، عمدتا به علت کمبود بودجه، بسیاری از مجله‏های خارجی را مشترک نیستند یا اشتراک خود را لغو کرده‏اند. چگونه می‏توان از پیشرفت امر پژوهش در کشور سخن گفت در حالیکه پژوهشگر از ابتدایی‏ترین ابزار، یعنی منبع تحقیق، بی‏بهره است؟ شایسته است در شرایط کنونی، دست‏کم دوسه کتابخانه و مرکز مهم ایران‏شناسی، همه کتابهای ایران‏شناسی را که در خارج ایران منتشر می‏شود خریداری کنند و همه مجله‏هایی را که این‏گونه مقاله‏ها را دربردارند مشترک شوند</w:t>
      </w:r>
      <w:r w:rsidRPr="001C5236">
        <w:rPr>
          <w:rFonts w:ascii="B Nazanin" w:eastAsia="Times New Roman" w:hAnsi="B Nazanin" w:cs="B Nazanin"/>
          <w:sz w:val="28"/>
          <w:szCs w:val="28"/>
        </w:rPr>
        <w:t>.</w:t>
      </w:r>
    </w:p>
    <w:p w:rsidR="001C5236" w:rsidRPr="001C5236" w:rsidRDefault="001C5236" w:rsidP="001C5236">
      <w:pPr>
        <w:bidi/>
        <w:spacing w:before="100" w:beforeAutospacing="1" w:after="100" w:afterAutospacing="1" w:line="360" w:lineRule="auto"/>
        <w:jc w:val="lowKashida"/>
        <w:rPr>
          <w:rFonts w:ascii="B Nazanin" w:eastAsia="Times New Roman" w:hAnsi="B Nazanin" w:cs="B Nazanin"/>
          <w:sz w:val="28"/>
          <w:szCs w:val="28"/>
        </w:rPr>
      </w:pPr>
      <w:r w:rsidRPr="001C5236">
        <w:rPr>
          <w:rFonts w:ascii="B Nazanin" w:eastAsia="Times New Roman" w:hAnsi="B Nazanin" w:cs="B Nazanin"/>
          <w:sz w:val="28"/>
          <w:szCs w:val="28"/>
          <w:rtl/>
        </w:rPr>
        <w:t xml:space="preserve">در دودهه گذشته دوتن از شاهنامهشناسان نامی ایرانی، یعنی جلال خالقی‏مطلق و محمود امیدسالار، مقاله‏های مهمی در مجله‏های خارجی به چاپ رسانده‏اند که این مجله‏ها کمتر در دسترس اهل تحقیق در ایران قرار گرفته است، و از همین‏رو جای خالی این مقاله‏ها در بیشتر تحقیقاتی که در سالهای اخیر درباره شاهنامه در داخل </w:t>
      </w:r>
      <w:r w:rsidRPr="001C5236">
        <w:rPr>
          <w:rFonts w:ascii="B Nazanin" w:eastAsia="Times New Roman" w:hAnsi="B Nazanin" w:cs="B Nazanin"/>
          <w:sz w:val="28"/>
          <w:szCs w:val="28"/>
          <w:rtl/>
        </w:rPr>
        <w:lastRenderedPageBreak/>
        <w:t>کشور منتشر شده است آشکارا حس می‏شود. خوشبختانه به تازگی انتشار دو مجموعه مقاله از دو محقق نامبرده که غالب مقالات آنها پیشتر در ایران‏شناسی به چاپ رسیده، این خلاء را تاحدی پرساخته است. این دومجموعه مقاله به اجمال معرفی می‏شوند</w:t>
      </w:r>
      <w:r w:rsidRPr="001C5236">
        <w:rPr>
          <w:rFonts w:ascii="B Nazanin" w:eastAsia="Times New Roman" w:hAnsi="B Nazanin" w:cs="B Nazanin"/>
          <w:sz w:val="28"/>
          <w:szCs w:val="28"/>
        </w:rPr>
        <w:t>:</w:t>
      </w:r>
    </w:p>
    <w:p w:rsidR="001C5236" w:rsidRPr="001C5236" w:rsidRDefault="001C5236" w:rsidP="001C5236">
      <w:pPr>
        <w:bidi/>
        <w:spacing w:before="100" w:beforeAutospacing="1" w:after="100" w:afterAutospacing="1" w:line="360" w:lineRule="auto"/>
        <w:jc w:val="lowKashida"/>
        <w:rPr>
          <w:rFonts w:ascii="B Nazanin" w:eastAsia="Times New Roman" w:hAnsi="B Nazanin" w:cs="B Nazanin"/>
          <w:sz w:val="28"/>
          <w:szCs w:val="28"/>
        </w:rPr>
      </w:pPr>
      <w:proofErr w:type="gramStart"/>
      <w:r w:rsidRPr="001C5236">
        <w:rPr>
          <w:rFonts w:ascii="B Nazanin" w:eastAsia="Times New Roman" w:hAnsi="B Nazanin" w:cs="B Nazanin"/>
          <w:sz w:val="28"/>
          <w:szCs w:val="28"/>
        </w:rPr>
        <w:t xml:space="preserve">1 </w:t>
      </w:r>
      <w:r w:rsidRPr="001C5236">
        <w:rPr>
          <w:rFonts w:ascii="B Nazanin" w:eastAsia="Times New Roman" w:hAnsi="B Nazanin" w:cs="B Nazanin"/>
          <w:sz w:val="28"/>
          <w:szCs w:val="28"/>
          <w:rtl/>
        </w:rPr>
        <w:t>سخن‏های دیرینه (سی‏گفتار درباره فردوسی و شاهنامه).</w:t>
      </w:r>
      <w:proofErr w:type="gramEnd"/>
      <w:r w:rsidRPr="001C5236">
        <w:rPr>
          <w:rFonts w:ascii="B Nazanin" w:eastAsia="Times New Roman" w:hAnsi="B Nazanin" w:cs="B Nazanin"/>
          <w:sz w:val="28"/>
          <w:szCs w:val="28"/>
          <w:rtl/>
        </w:rPr>
        <w:t xml:space="preserve"> دکتر جلال خالقی‏مطلق. به کوشش علی دهباشی. نشر افکار. تهران. 1381. 488 ص</w:t>
      </w:r>
      <w:r w:rsidRPr="001C5236">
        <w:rPr>
          <w:rFonts w:ascii="B Nazanin" w:eastAsia="Times New Roman" w:hAnsi="B Nazanin" w:cs="B Nazanin"/>
          <w:sz w:val="28"/>
          <w:szCs w:val="28"/>
        </w:rPr>
        <w:t>.</w:t>
      </w:r>
    </w:p>
    <w:p w:rsidR="001C5236" w:rsidRPr="001C5236" w:rsidRDefault="001C5236" w:rsidP="001C5236">
      <w:pPr>
        <w:bidi/>
        <w:spacing w:before="100" w:beforeAutospacing="1" w:after="100" w:afterAutospacing="1" w:line="360" w:lineRule="auto"/>
        <w:jc w:val="lowKashida"/>
        <w:rPr>
          <w:rFonts w:ascii="B Nazanin" w:eastAsia="Times New Roman" w:hAnsi="B Nazanin" w:cs="B Nazanin"/>
          <w:sz w:val="28"/>
          <w:szCs w:val="28"/>
        </w:rPr>
      </w:pPr>
      <w:r w:rsidRPr="001C5236">
        <w:rPr>
          <w:rFonts w:ascii="B Nazanin" w:eastAsia="Times New Roman" w:hAnsi="B Nazanin" w:cs="B Nazanin"/>
          <w:sz w:val="28"/>
          <w:szCs w:val="28"/>
          <w:rtl/>
        </w:rPr>
        <w:t>این کتاب دومین مجموعه مقاله از دکتر خالقی است که در ایران انتشار یافته است</w:t>
      </w:r>
      <w:r w:rsidRPr="001C5236">
        <w:rPr>
          <w:rFonts w:ascii="B Nazanin" w:eastAsia="Times New Roman" w:hAnsi="B Nazanin" w:cs="B Nazanin"/>
          <w:sz w:val="28"/>
          <w:szCs w:val="28"/>
        </w:rPr>
        <w:t xml:space="preserve">. </w:t>
      </w:r>
      <w:r w:rsidRPr="001C5236">
        <w:rPr>
          <w:rFonts w:ascii="B Nazanin" w:eastAsia="Times New Roman" w:hAnsi="B Nazanin" w:cs="B Nazanin"/>
          <w:sz w:val="28"/>
          <w:szCs w:val="28"/>
          <w:rtl/>
        </w:rPr>
        <w:t>نخستین مجموعه نیز به کوشش علی دهباشی با عنوان گل‏رنجهای کهن در 1372 از سوی نشر مرکز منتشر شده بود. دکتر خالقی بی‏گمان بزرگترین متن‏شناس شاهنامه در سالهای اخیر است و همین آگاهی او به راز و رمزهای متن شاهنامه و تصحیح آن و در اختیارداشتن همه دستنویسهای مهم و معتبر شاهنامه که تاکنون شناخته شده‏اند، به مقاله‏های او ویژگیهای ممتازی بخشیده است. در همه مقاله‏هایی که در این مجموعه به چاپ رسیده، دکتر خالقی، همانند مقاله‏های دیگر خود، گرهی از گره‏های پرشمار موجود در متن شاهنامه را گشوده و درباره پاره‏ای مسائل بحث‏انگیز نظریه‏های نوی عرضه کرده است</w:t>
      </w:r>
      <w:r w:rsidRPr="001C5236">
        <w:rPr>
          <w:rFonts w:ascii="B Nazanin" w:eastAsia="Times New Roman" w:hAnsi="B Nazanin" w:cs="B Nazanin"/>
          <w:sz w:val="28"/>
          <w:szCs w:val="28"/>
        </w:rPr>
        <w:t>.</w:t>
      </w:r>
    </w:p>
    <w:p w:rsidR="001C5236" w:rsidRPr="001C5236" w:rsidRDefault="001C5236" w:rsidP="001C5236">
      <w:pPr>
        <w:bidi/>
        <w:spacing w:before="100" w:beforeAutospacing="1" w:after="100" w:afterAutospacing="1" w:line="360" w:lineRule="auto"/>
        <w:jc w:val="lowKashida"/>
        <w:rPr>
          <w:rFonts w:ascii="B Nazanin" w:eastAsia="Times New Roman" w:hAnsi="B Nazanin" w:cs="B Nazanin"/>
          <w:sz w:val="28"/>
          <w:szCs w:val="28"/>
        </w:rPr>
      </w:pPr>
      <w:r w:rsidRPr="001C5236">
        <w:rPr>
          <w:rFonts w:ascii="B Nazanin" w:eastAsia="Times New Roman" w:hAnsi="B Nazanin" w:cs="B Nazanin"/>
          <w:sz w:val="28"/>
          <w:szCs w:val="28"/>
          <w:rtl/>
        </w:rPr>
        <w:t>در دو مقاله «یکی مهتری بود گردنفراز» و «جوان بود و از گوهر پهلوان</w:t>
      </w:r>
      <w:r w:rsidRPr="001C5236">
        <w:rPr>
          <w:rFonts w:ascii="B Nazanin" w:eastAsia="Times New Roman" w:hAnsi="B Nazanin" w:cs="B Nazanin"/>
          <w:sz w:val="28"/>
          <w:szCs w:val="28"/>
        </w:rPr>
        <w:t>»</w:t>
      </w:r>
      <w:r w:rsidRPr="001C5236">
        <w:rPr>
          <w:rFonts w:ascii="B Nazanin" w:eastAsia="Times New Roman" w:hAnsi="B Nazanin" w:cs="B Nazanin"/>
          <w:sz w:val="28"/>
          <w:szCs w:val="28"/>
          <w:rtl/>
        </w:rPr>
        <w:t>، نخستین‏بار هویت این پشتیبان و ممدوح فردوسی را روشن ساخته و با شواهد و دلایل قوی نشان داده است که او منصور پسر ابومنصور محمّد بن عبدالرزاق (بانی شاهنامه منثور ابومنصوری) بوده است. در مقاله «تطهیر معنوی با آب در شاهنامه» با عرضه چندین شاهد از شاهنامه نشان داده است که ایرانیان از روزگاران کهن از آب برای تطهیر معنوی بهره می‏بردند و نیز خاطرنشان می‏سازد که «افسانه چشمه حیوان در اصل از افسانه‏های ایرانی است که همراه با برخی روایات دیگر ایرانی به رمان اسکندر راه یافته است و این چشمه حیوان چیزی جز همان چشمه‏ای نیست که کیخسرو پیش از آنکه در زمره جاودانان درآید در آن غسل کرد و سپس از چشم همراهان ناپدید گشت</w:t>
      </w:r>
      <w:r w:rsidRPr="001C5236">
        <w:rPr>
          <w:rFonts w:ascii="B Nazanin" w:eastAsia="Times New Roman" w:hAnsi="B Nazanin" w:cs="B Nazanin"/>
          <w:sz w:val="28"/>
          <w:szCs w:val="28"/>
        </w:rPr>
        <w:t>».</w:t>
      </w:r>
    </w:p>
    <w:p w:rsidR="001C5236" w:rsidRPr="001C5236" w:rsidRDefault="001C5236" w:rsidP="001C5236">
      <w:pPr>
        <w:bidi/>
        <w:spacing w:before="100" w:beforeAutospacing="1" w:after="100" w:afterAutospacing="1" w:line="360" w:lineRule="auto"/>
        <w:jc w:val="lowKashida"/>
        <w:rPr>
          <w:rFonts w:ascii="B Nazanin" w:eastAsia="Times New Roman" w:hAnsi="B Nazanin" w:cs="B Nazanin"/>
          <w:sz w:val="28"/>
          <w:szCs w:val="28"/>
        </w:rPr>
      </w:pPr>
      <w:r w:rsidRPr="001C5236">
        <w:rPr>
          <w:rFonts w:ascii="B Nazanin" w:eastAsia="Times New Roman" w:hAnsi="B Nazanin" w:cs="B Nazanin"/>
          <w:sz w:val="28"/>
          <w:szCs w:val="28"/>
          <w:rtl/>
        </w:rPr>
        <w:lastRenderedPageBreak/>
        <w:t>در چند مقاله، همسانیهایی را میان برخی روایات مربوط به پادشاهان ماد و هخامنشی از یک‏سو و پادشاهان اساطیری پیشدادی و کیانی از سوی دیگر یافته است (کیکاوس و دیاکو، کیکاوس و کیاگسار، کیخسرو و کورش، هوشنگ و دیاکو). در مقاله «نظری درباره هویت مادر سیاوش»، نخست این پرسش را پیش می‏کشد که چرا شاهنامه و مآخذ دیگر پهلوی و فارسی و عربی نام مادر سیاوش را ذکر نکرده‏اند، در حالیکه به‏ویژه در شاهنامه، نام زنانِ خیلی کم‏اهمیت‏تر از او قید شده است؟ خالقی بر این باور است که «در ساخت کهنتر این داستان، مادر سیاوش همان سودابه بوده، ولی سپس‏تر چون عشق میان مادر و پسر را نپسندیده بوده‏اند، سودابه را مادر ناتنی سیاوش کرده و سپس ... برای سیاوش مادر دیگری بدون نام ساخته‏اند</w:t>
      </w:r>
      <w:r w:rsidRPr="001C5236">
        <w:rPr>
          <w:rFonts w:ascii="B Nazanin" w:eastAsia="Times New Roman" w:hAnsi="B Nazanin" w:cs="B Nazanin"/>
          <w:sz w:val="28"/>
          <w:szCs w:val="28"/>
        </w:rPr>
        <w:t>».</w:t>
      </w:r>
    </w:p>
    <w:p w:rsidR="001C5236" w:rsidRPr="001C5236" w:rsidRDefault="001C5236" w:rsidP="001C5236">
      <w:pPr>
        <w:bidi/>
        <w:spacing w:before="100" w:beforeAutospacing="1" w:after="100" w:afterAutospacing="1" w:line="360" w:lineRule="auto"/>
        <w:jc w:val="lowKashida"/>
        <w:rPr>
          <w:rFonts w:ascii="B Nazanin" w:eastAsia="Times New Roman" w:hAnsi="B Nazanin" w:cs="B Nazanin"/>
          <w:sz w:val="28"/>
          <w:szCs w:val="28"/>
        </w:rPr>
      </w:pPr>
      <w:r w:rsidRPr="001C5236">
        <w:rPr>
          <w:rFonts w:ascii="B Nazanin" w:eastAsia="Times New Roman" w:hAnsi="B Nazanin" w:cs="B Nazanin"/>
          <w:sz w:val="28"/>
          <w:szCs w:val="28"/>
          <w:rtl/>
        </w:rPr>
        <w:t>مطالعه همه مقاله‏های این کتاب برای علاقه‏مندان به شاهنامه سودمند است و به‏ویژه مقاله‏های «عناصر درام در برخی از داستانهای شاهنامه»، «ایران درگذشت روزگاران» و یادداشتهای آن؛ «اهمیت و خطر مآخذ جانبی در تصحیح شاهنامه»، «نگاهی به هزاربیت دقیقی و سنجشی با سخن فردوسی» و مقاله مفصل «تکرار در شاهنامه» پر است از نکته‏سنجیهای دقیق و جالب و نظریه‏های نو. فهرست مقاله‏های دیگر این مجموعه بدین شرح است: «گریگور ماگیستروس: قطعاتی از اسطوره‏های ایرانی (ترجمه)»؛ «درباره عنوان داستان دوازده رُخ»؛ «اهمیت شاهنامه فردوسی»؛ «نگاهی کوتاه به فنّ داستان‏سرائی فردوسی»؛ «یادی از دانشمند رنجدیده و ناکام: فریتس ولف»؛ «افسانه بانوی حصاری و پیشینه قالبی ادبی آن»؛ «آغاز و انجام داستانهای شاهنامه»؛ «ایران‏گرایی در شاهنامه»؛ «مرداس و ضحاک»؛ «اشتقاق‏سازی عامیانه در شاهنامه»؛ «درباره لقب بهرام، سردار مشهور ساسانی»؛ «تئودور نولدکه: دیو سپید مازندران (ترجمه)»؛ «تاریخ روز پایان نظم شاهنامه</w:t>
      </w:r>
      <w:r w:rsidRPr="001C5236">
        <w:rPr>
          <w:rFonts w:ascii="B Nazanin" w:eastAsia="Times New Roman" w:hAnsi="B Nazanin" w:cs="B Nazanin"/>
          <w:sz w:val="28"/>
          <w:szCs w:val="28"/>
        </w:rPr>
        <w:t>».</w:t>
      </w:r>
    </w:p>
    <w:p w:rsidR="001C5236" w:rsidRPr="001C5236" w:rsidRDefault="001C5236" w:rsidP="001C5236">
      <w:pPr>
        <w:bidi/>
        <w:spacing w:before="100" w:beforeAutospacing="1" w:after="100" w:afterAutospacing="1" w:line="360" w:lineRule="auto"/>
        <w:jc w:val="lowKashida"/>
        <w:rPr>
          <w:rFonts w:ascii="B Nazanin" w:eastAsia="Times New Roman" w:hAnsi="B Nazanin" w:cs="B Nazanin"/>
          <w:sz w:val="28"/>
          <w:szCs w:val="28"/>
        </w:rPr>
      </w:pPr>
      <w:r w:rsidRPr="001C5236">
        <w:rPr>
          <w:rFonts w:ascii="B Nazanin" w:eastAsia="Times New Roman" w:hAnsi="B Nazanin" w:cs="B Nazanin"/>
          <w:sz w:val="28"/>
          <w:szCs w:val="28"/>
          <w:rtl/>
        </w:rPr>
        <w:t>سخن آخر آنکه، این کتاب چاپی بسیار چشم‏نواز دارد و این امر گواه آن است که در سالهای اخیر ناشران کشور در ارتقای کیفیت چاپ کتاب بسیار کوشیده‏اند</w:t>
      </w:r>
      <w:r w:rsidRPr="001C5236">
        <w:rPr>
          <w:rFonts w:ascii="B Nazanin" w:eastAsia="Times New Roman" w:hAnsi="B Nazanin" w:cs="B Nazanin"/>
          <w:sz w:val="28"/>
          <w:szCs w:val="28"/>
        </w:rPr>
        <w:t>.</w:t>
      </w:r>
    </w:p>
    <w:p w:rsidR="001C5236" w:rsidRPr="001C5236" w:rsidRDefault="001C5236" w:rsidP="001C5236">
      <w:pPr>
        <w:bidi/>
        <w:spacing w:before="100" w:beforeAutospacing="1" w:after="100" w:afterAutospacing="1" w:line="360" w:lineRule="auto"/>
        <w:jc w:val="lowKashida"/>
        <w:rPr>
          <w:rFonts w:ascii="B Nazanin" w:eastAsia="Times New Roman" w:hAnsi="B Nazanin" w:cs="B Nazanin"/>
          <w:sz w:val="28"/>
          <w:szCs w:val="28"/>
        </w:rPr>
      </w:pPr>
      <w:proofErr w:type="gramStart"/>
      <w:r w:rsidRPr="001C5236">
        <w:rPr>
          <w:rFonts w:ascii="B Nazanin" w:eastAsia="Times New Roman" w:hAnsi="B Nazanin" w:cs="B Nazanin"/>
          <w:sz w:val="28"/>
          <w:szCs w:val="28"/>
        </w:rPr>
        <w:lastRenderedPageBreak/>
        <w:t xml:space="preserve">2 </w:t>
      </w:r>
      <w:r w:rsidRPr="001C5236">
        <w:rPr>
          <w:rFonts w:ascii="B Nazanin" w:eastAsia="Times New Roman" w:hAnsi="B Nazanin" w:cs="B Nazanin"/>
          <w:sz w:val="28"/>
          <w:szCs w:val="28"/>
          <w:rtl/>
        </w:rPr>
        <w:t>جستارهای شاهنامه‏شناسی و مباحث ادبی.</w:t>
      </w:r>
      <w:proofErr w:type="gramEnd"/>
      <w:r w:rsidRPr="001C5236">
        <w:rPr>
          <w:rFonts w:ascii="B Nazanin" w:eastAsia="Times New Roman" w:hAnsi="B Nazanin" w:cs="B Nazanin"/>
          <w:sz w:val="28"/>
          <w:szCs w:val="28"/>
          <w:rtl/>
        </w:rPr>
        <w:t xml:space="preserve"> محمود امیدسالار. موقوفات دکتر محمود افشار. تهران. 1381. 626 ص (482 ص فارسی+ 144 ص انگلیسی</w:t>
      </w:r>
      <w:r w:rsidRPr="001C5236">
        <w:rPr>
          <w:rFonts w:ascii="B Nazanin" w:eastAsia="Times New Roman" w:hAnsi="B Nazanin" w:cs="B Nazanin"/>
          <w:sz w:val="28"/>
          <w:szCs w:val="28"/>
        </w:rPr>
        <w:t>).</w:t>
      </w:r>
    </w:p>
    <w:p w:rsidR="001C5236" w:rsidRPr="001C5236" w:rsidRDefault="001C5236" w:rsidP="001C5236">
      <w:pPr>
        <w:bidi/>
        <w:spacing w:before="100" w:beforeAutospacing="1" w:after="100" w:afterAutospacing="1" w:line="360" w:lineRule="auto"/>
        <w:jc w:val="lowKashida"/>
        <w:rPr>
          <w:rFonts w:ascii="B Nazanin" w:eastAsia="Times New Roman" w:hAnsi="B Nazanin" w:cs="B Nazanin"/>
          <w:sz w:val="28"/>
          <w:szCs w:val="28"/>
        </w:rPr>
      </w:pPr>
      <w:r w:rsidRPr="001C5236">
        <w:rPr>
          <w:rFonts w:ascii="B Nazanin" w:eastAsia="Times New Roman" w:hAnsi="B Nazanin" w:cs="B Nazanin"/>
          <w:sz w:val="28"/>
          <w:szCs w:val="28"/>
          <w:rtl/>
        </w:rPr>
        <w:t>محمود امیدسالار در ایران کمتر شناخته شده است؛ زیرا غالب آثار او در نشریه‏های خارج ایران به چاپ رسیده است و چنانکه پیشتر گفته آمد، این نشریه‏ها کمتر به ایران می‏رسد. این مجموعه مشتمل است بر 20 جستار در مباحث شاهنامهشناسی، 17 جستار در مباحث ادبی، و 6 جستار به زبان انگلیسی درباره شاهنامه و حماسه و فرهنگ عامه</w:t>
      </w:r>
      <w:r w:rsidRPr="001C5236">
        <w:rPr>
          <w:rFonts w:ascii="B Nazanin" w:eastAsia="Times New Roman" w:hAnsi="B Nazanin" w:cs="B Nazanin"/>
          <w:sz w:val="28"/>
          <w:szCs w:val="28"/>
        </w:rPr>
        <w:t xml:space="preserve">. </w:t>
      </w:r>
      <w:r w:rsidRPr="001C5236">
        <w:rPr>
          <w:rFonts w:ascii="B Nazanin" w:eastAsia="Times New Roman" w:hAnsi="B Nazanin" w:cs="B Nazanin"/>
          <w:sz w:val="28"/>
          <w:szCs w:val="28"/>
          <w:rtl/>
        </w:rPr>
        <w:t xml:space="preserve">امیدسالار، چنانکه استاد ایرج افشار در یادداشت کوتاه خود در آغاز کتاب خاطرنشان ساخته، در زمینه‏های گوناگون ادب فارسی، حماسه و اسطوره و فرهنگ عامه، صاحب بصیرت است و مقاله‏های او در مباحث شاهنامهشناسی نشان می‏دهد که در این قلمرو از متخصصان دقیق، کنجکاو و نکته‏یاب است. از همین‏رو جلال خالقی‏مطلق تصحیح دفتر ششم شاهنامه </w:t>
      </w:r>
      <w:r w:rsidRPr="001C5236">
        <w:rPr>
          <w:rFonts w:ascii="B Nazanin" w:eastAsia="Times New Roman" w:hAnsi="B Nazanin" w:cs="B Nazanin"/>
          <w:sz w:val="28"/>
          <w:szCs w:val="28"/>
        </w:rPr>
        <w:t>(</w:t>
      </w:r>
      <w:r w:rsidRPr="001C5236">
        <w:rPr>
          <w:rFonts w:ascii="B Nazanin" w:eastAsia="Times New Roman" w:hAnsi="B Nazanin" w:cs="B Nazanin"/>
          <w:sz w:val="28"/>
          <w:szCs w:val="28"/>
          <w:rtl/>
        </w:rPr>
        <w:t>از آغاز اسکندر تا پایان بهرام‏گور ساسانی) را برعهده او گذاشته است و تا آنجا که نگارنده آگاهی دارد تصحیح این دفتر رو به پایان است و به‏زودی در آمریکا منتشر می‏شود</w:t>
      </w:r>
      <w:r w:rsidRPr="001C5236">
        <w:rPr>
          <w:rFonts w:ascii="B Nazanin" w:eastAsia="Times New Roman" w:hAnsi="B Nazanin" w:cs="B Nazanin"/>
          <w:sz w:val="28"/>
          <w:szCs w:val="28"/>
        </w:rPr>
        <w:t>.</w:t>
      </w:r>
    </w:p>
    <w:p w:rsidR="001C5236" w:rsidRPr="001C5236" w:rsidRDefault="001C5236" w:rsidP="001C5236">
      <w:pPr>
        <w:bidi/>
        <w:spacing w:before="100" w:beforeAutospacing="1" w:after="100" w:afterAutospacing="1" w:line="360" w:lineRule="auto"/>
        <w:jc w:val="lowKashida"/>
        <w:rPr>
          <w:rFonts w:ascii="B Nazanin" w:eastAsia="Times New Roman" w:hAnsi="B Nazanin" w:cs="B Nazanin"/>
          <w:sz w:val="28"/>
          <w:szCs w:val="28"/>
        </w:rPr>
      </w:pPr>
      <w:r w:rsidRPr="001C5236">
        <w:rPr>
          <w:rFonts w:ascii="B Nazanin" w:eastAsia="Times New Roman" w:hAnsi="B Nazanin" w:cs="B Nazanin"/>
          <w:sz w:val="28"/>
          <w:szCs w:val="28"/>
          <w:rtl/>
        </w:rPr>
        <w:t xml:space="preserve">تخصص اصلی امیدسالار فرهنگ عامّه (فولکلور) است. او از معدود محققانی است که با استفاده از روایات شفاهی شاهنامه که زنده‏یاد انجوی شیرازی آنها را گرد آورده، توانسته است پرتوهایی تازه بر برخی بیتهای بحث‏انگیز شاهنامه بیفکند. او در مقاله </w:t>
      </w:r>
      <w:r w:rsidRPr="001C5236">
        <w:rPr>
          <w:rFonts w:ascii="B Nazanin" w:eastAsia="Times New Roman" w:hAnsi="B Nazanin" w:cs="B Nazanin"/>
          <w:sz w:val="28"/>
          <w:szCs w:val="28"/>
        </w:rPr>
        <w:t>«</w:t>
      </w:r>
      <w:r w:rsidRPr="001C5236">
        <w:rPr>
          <w:rFonts w:ascii="B Nazanin" w:eastAsia="Times New Roman" w:hAnsi="B Nazanin" w:cs="B Nazanin"/>
          <w:sz w:val="28"/>
          <w:szCs w:val="28"/>
          <w:rtl/>
        </w:rPr>
        <w:t xml:space="preserve">ببر بیان» درباره اشتقاق این ترکیب که بحثهای بسیاری را در میان شاهنامهشناسان برانگیخته است، کلید حل معما را در فولکلور ایران می‏جوید. او نخست قصه‏ای را از مجموعه داستانهای عامیانه پهلوانی با عنوان «رستم و ببر بیان دریایی» می‏آورد که خلاصه آن چنین است: «ببر بیان هیولایی است عظیم‏الجثه که در ماه یک‏بار از دریای هند بیرون می‏آید و به گله‏های مردم حمله می‏کند. برای دفع این هیولای عظیم آتش‏فشان، مردم هند به منوچهرشاه متوسل می‏شوند و منوچهر هم رستم را برای کشتن ببر بیان دریایی به هند می‏فرستد. رستم به همراه گودرز حیوان را از پای درمی‏آورد و سپس گودرز از پوست محکم ببر بیان دریایی زرهی که هیچ آلت حرب بر آن کارگر نیست برای جهان‏پهلوان می‏سازد». امیدسالار این روایت شفاهی را با یکی از بندهای یشتها درباره اناهیتا (ایزدبانوی آبها) می‏سنجد که بنابر آن این ایزدبانو </w:t>
      </w:r>
      <w:r w:rsidRPr="001C5236">
        <w:rPr>
          <w:rFonts w:ascii="B Nazanin" w:eastAsia="Times New Roman" w:hAnsi="B Nazanin" w:cs="B Nazanin"/>
          <w:sz w:val="28"/>
          <w:szCs w:val="28"/>
          <w:rtl/>
        </w:rPr>
        <w:lastRenderedPageBreak/>
        <w:t>جامه‏ای که از پوست درخشان سیصد «بیدستر» (به فارسی میانه</w:t>
      </w:r>
      <w:r w:rsidRPr="001C5236">
        <w:rPr>
          <w:rFonts w:ascii="B Nazanin" w:eastAsia="Times New Roman" w:hAnsi="B Nazanin" w:cs="B Nazanin"/>
          <w:sz w:val="28"/>
          <w:szCs w:val="28"/>
        </w:rPr>
        <w:t xml:space="preserve"> </w:t>
      </w:r>
      <w:proofErr w:type="spellStart"/>
      <w:r w:rsidRPr="001C5236">
        <w:rPr>
          <w:rFonts w:ascii="B Nazanin" w:eastAsia="Times New Roman" w:hAnsi="B Nazanin" w:cs="B Nazanin"/>
          <w:sz w:val="28"/>
          <w:szCs w:val="28"/>
        </w:rPr>
        <w:t>babrag</w:t>
      </w:r>
      <w:proofErr w:type="spellEnd"/>
      <w:r w:rsidRPr="001C5236">
        <w:rPr>
          <w:rFonts w:ascii="B Nazanin" w:eastAsia="Times New Roman" w:hAnsi="B Nazanin" w:cs="B Nazanin"/>
          <w:sz w:val="28"/>
          <w:szCs w:val="28"/>
        </w:rPr>
        <w:t xml:space="preserve"> </w:t>
      </w:r>
      <w:proofErr w:type="spellStart"/>
      <w:r w:rsidRPr="001C5236">
        <w:rPr>
          <w:rFonts w:ascii="B Nazanin" w:eastAsia="Times New Roman" w:hAnsi="B Nazanin" w:cs="B Nazanin"/>
          <w:sz w:val="28"/>
          <w:szCs w:val="28"/>
        </w:rPr>
        <w:t>ãÎ</w:t>
      </w:r>
      <w:proofErr w:type="spellEnd"/>
      <w:r w:rsidRPr="001C5236">
        <w:rPr>
          <w:rFonts w:ascii="B Nazanin" w:eastAsia="Times New Roman" w:hAnsi="B Nazanin" w:cs="B Nazanin"/>
          <w:sz w:val="28"/>
          <w:szCs w:val="28"/>
        </w:rPr>
        <w:t xml:space="preserve"> </w:t>
      </w:r>
      <w:proofErr w:type="spellStart"/>
      <w:r w:rsidRPr="001C5236">
        <w:rPr>
          <w:rFonts w:ascii="B Nazanin" w:eastAsia="Times New Roman" w:hAnsi="B Nazanin" w:cs="B Nazanin"/>
          <w:sz w:val="28"/>
          <w:szCs w:val="28"/>
        </w:rPr>
        <w:t>aÎbãÎg</w:t>
      </w:r>
      <w:proofErr w:type="spellEnd"/>
      <w:r w:rsidRPr="001C5236">
        <w:rPr>
          <w:rFonts w:ascii="B Nazanin" w:eastAsia="Times New Roman" w:hAnsi="B Nazanin" w:cs="B Nazanin"/>
          <w:sz w:val="28"/>
          <w:szCs w:val="28"/>
        </w:rPr>
        <w:t xml:space="preserve"> </w:t>
      </w:r>
      <w:r w:rsidRPr="001C5236">
        <w:rPr>
          <w:rFonts w:ascii="B Nazanin" w:eastAsia="Times New Roman" w:hAnsi="B Nazanin" w:cs="B Nazanin"/>
          <w:sz w:val="28"/>
          <w:szCs w:val="28"/>
          <w:rtl/>
        </w:rPr>
        <w:t xml:space="preserve">که نوعی سگ آبی است) ساخته شده، برتن دارد (یشت 5، بند 129). نویسنده از این مقایسه نتیجه می‏گیرد که «ببر» در </w:t>
      </w:r>
      <w:r w:rsidRPr="001C5236">
        <w:rPr>
          <w:rFonts w:ascii="B Nazanin" w:eastAsia="Times New Roman" w:hAnsi="B Nazanin" w:cs="B Nazanin"/>
          <w:sz w:val="28"/>
          <w:szCs w:val="28"/>
        </w:rPr>
        <w:t>«</w:t>
      </w:r>
      <w:r w:rsidRPr="001C5236">
        <w:rPr>
          <w:rFonts w:ascii="B Nazanin" w:eastAsia="Times New Roman" w:hAnsi="B Nazanin" w:cs="B Nazanin"/>
          <w:sz w:val="28"/>
          <w:szCs w:val="28"/>
          <w:rtl/>
        </w:rPr>
        <w:t xml:space="preserve">ببر بیان» هیچ ارتباطی با ببر معروف ندارد، بلکه همان «بیدستر» است و درباره </w:t>
      </w:r>
      <w:r w:rsidRPr="001C5236">
        <w:rPr>
          <w:rFonts w:ascii="B Nazanin" w:eastAsia="Times New Roman" w:hAnsi="B Nazanin" w:cs="B Nazanin"/>
          <w:sz w:val="28"/>
          <w:szCs w:val="28"/>
        </w:rPr>
        <w:t>«</w:t>
      </w:r>
      <w:r w:rsidRPr="001C5236">
        <w:rPr>
          <w:rFonts w:ascii="B Nazanin" w:eastAsia="Times New Roman" w:hAnsi="B Nazanin" w:cs="B Nazanin"/>
          <w:sz w:val="28"/>
          <w:szCs w:val="28"/>
          <w:rtl/>
        </w:rPr>
        <w:t>بیان» نیز همان نظر معروف زنده‏یاد ماهیار نوابی را می‏پذیرد که معتقد بود از ایرانی‏باستان</w:t>
      </w:r>
      <w:r w:rsidRPr="001C5236">
        <w:rPr>
          <w:rFonts w:ascii="B Nazanin" w:eastAsia="Times New Roman" w:hAnsi="B Nazanin" w:cs="B Nazanin"/>
          <w:sz w:val="28"/>
          <w:szCs w:val="28"/>
        </w:rPr>
        <w:t xml:space="preserve"> *</w:t>
      </w:r>
      <w:proofErr w:type="spellStart"/>
      <w:r w:rsidRPr="001C5236">
        <w:rPr>
          <w:rFonts w:ascii="B Nazanin" w:eastAsia="Times New Roman" w:hAnsi="B Nazanin" w:cs="B Nazanin"/>
          <w:sz w:val="28"/>
          <w:szCs w:val="28"/>
        </w:rPr>
        <w:t>bagaÎnaÎm</w:t>
      </w:r>
      <w:proofErr w:type="spellEnd"/>
      <w:r w:rsidRPr="001C5236">
        <w:rPr>
          <w:rFonts w:ascii="B Nazanin" w:eastAsia="Times New Roman" w:hAnsi="B Nazanin" w:cs="B Nazanin"/>
          <w:sz w:val="28"/>
          <w:szCs w:val="28"/>
        </w:rPr>
        <w:t xml:space="preserve"> </w:t>
      </w:r>
      <w:r w:rsidRPr="001C5236">
        <w:rPr>
          <w:rFonts w:ascii="B Nazanin" w:eastAsia="Times New Roman" w:hAnsi="B Nazanin" w:cs="B Nazanin"/>
          <w:sz w:val="28"/>
          <w:szCs w:val="28"/>
          <w:rtl/>
        </w:rPr>
        <w:t>به معنی «خدایان» مشتق شده است و در پایان ترکیب «ببر بیان» را به «بیدستر خدای» برمی‏گرداند</w:t>
      </w:r>
      <w:r w:rsidRPr="001C5236">
        <w:rPr>
          <w:rFonts w:ascii="B Nazanin" w:eastAsia="Times New Roman" w:hAnsi="B Nazanin" w:cs="B Nazanin"/>
          <w:sz w:val="28"/>
          <w:szCs w:val="28"/>
        </w:rPr>
        <w:t>.</w:t>
      </w:r>
    </w:p>
    <w:p w:rsidR="001C5236" w:rsidRPr="001C5236" w:rsidRDefault="001C5236" w:rsidP="001C5236">
      <w:pPr>
        <w:bidi/>
        <w:spacing w:before="100" w:beforeAutospacing="1" w:after="100" w:afterAutospacing="1" w:line="360" w:lineRule="auto"/>
        <w:jc w:val="lowKashida"/>
        <w:rPr>
          <w:rFonts w:ascii="B Nazanin" w:eastAsia="Times New Roman" w:hAnsi="B Nazanin" w:cs="B Nazanin"/>
          <w:sz w:val="28"/>
          <w:szCs w:val="28"/>
        </w:rPr>
      </w:pPr>
      <w:r w:rsidRPr="001C5236">
        <w:rPr>
          <w:rFonts w:ascii="B Nazanin" w:eastAsia="Times New Roman" w:hAnsi="B Nazanin" w:cs="B Nazanin"/>
          <w:sz w:val="28"/>
          <w:szCs w:val="28"/>
          <w:rtl/>
        </w:rPr>
        <w:t>امیدسالار در مقاله‏ای دیگر («خداوند این را ندانیم کس») باز هم براساس روایتی شفاهی گره بیت دیگری از شاهنامه را می‏گشاید. رستم برای گزینش اسب خود، با دست بر پشت هر اسبی فشار می‏دهد، اسب زیر نیروی پهلوان پشت خم می‏کند و شکم بر زمین می‏نهد؛ تا اینکه از میان گله‏ای که از کابل می‏آید، چشم رستم به مادیانی می‏افتد که به همراهی کرّه‏ای به اندازه خودش می‏گذرد. رستم می‏خواهد کرّه را به کمند خود بگیرد</w:t>
      </w:r>
      <w:r w:rsidRPr="001C5236">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2851"/>
        <w:gridCol w:w="2988"/>
      </w:tblGrid>
      <w:tr w:rsidR="001C5236" w:rsidRPr="001C5236" w:rsidTr="001C5236">
        <w:trPr>
          <w:tblCellSpacing w:w="15" w:type="dxa"/>
        </w:trPr>
        <w:tc>
          <w:tcPr>
            <w:tcW w:w="0" w:type="auto"/>
            <w:vAlign w:val="center"/>
            <w:hideMark/>
          </w:tcPr>
          <w:p w:rsidR="001C5236" w:rsidRPr="001C5236" w:rsidRDefault="001C5236" w:rsidP="001C5236">
            <w:pPr>
              <w:bidi/>
              <w:spacing w:after="0" w:line="360" w:lineRule="auto"/>
              <w:jc w:val="lowKashida"/>
              <w:rPr>
                <w:rFonts w:ascii="B Nazanin" w:eastAsia="Times New Roman" w:hAnsi="B Nazanin" w:cs="B Nazanin"/>
                <w:sz w:val="28"/>
                <w:szCs w:val="28"/>
              </w:rPr>
            </w:pPr>
            <w:r w:rsidRPr="001C5236">
              <w:rPr>
                <w:rFonts w:ascii="B Nazanin" w:eastAsia="Times New Roman" w:hAnsi="B Nazanin" w:cs="B Nazanin"/>
                <w:sz w:val="28"/>
                <w:szCs w:val="28"/>
                <w:rtl/>
              </w:rPr>
              <w:t xml:space="preserve">به رستم چنین گفت چوپان پیر </w:t>
            </w:r>
          </w:p>
        </w:tc>
        <w:tc>
          <w:tcPr>
            <w:tcW w:w="0" w:type="auto"/>
            <w:vAlign w:val="center"/>
            <w:hideMark/>
          </w:tcPr>
          <w:p w:rsidR="001C5236" w:rsidRPr="001C5236" w:rsidRDefault="001C5236" w:rsidP="001C5236">
            <w:pPr>
              <w:bidi/>
              <w:spacing w:after="0" w:line="360" w:lineRule="auto"/>
              <w:jc w:val="lowKashida"/>
              <w:rPr>
                <w:rFonts w:ascii="B Nazanin" w:eastAsia="Times New Roman" w:hAnsi="B Nazanin" w:cs="B Nazanin"/>
                <w:sz w:val="28"/>
                <w:szCs w:val="28"/>
              </w:rPr>
            </w:pPr>
            <w:r w:rsidRPr="001C5236">
              <w:rPr>
                <w:rFonts w:ascii="B Nazanin" w:eastAsia="Times New Roman" w:hAnsi="B Nazanin" w:cs="B Nazanin"/>
                <w:sz w:val="28"/>
                <w:szCs w:val="28"/>
                <w:rtl/>
              </w:rPr>
              <w:t xml:space="preserve">که‏ای مهتر اسپ کسان را مگیر </w:t>
            </w:r>
          </w:p>
        </w:tc>
      </w:tr>
      <w:tr w:rsidR="001C5236" w:rsidRPr="001C5236" w:rsidTr="001C5236">
        <w:trPr>
          <w:tblCellSpacing w:w="15" w:type="dxa"/>
        </w:trPr>
        <w:tc>
          <w:tcPr>
            <w:tcW w:w="0" w:type="auto"/>
            <w:vAlign w:val="center"/>
            <w:hideMark/>
          </w:tcPr>
          <w:p w:rsidR="001C5236" w:rsidRPr="001C5236" w:rsidRDefault="001C5236" w:rsidP="001C5236">
            <w:pPr>
              <w:bidi/>
              <w:spacing w:after="0" w:line="360" w:lineRule="auto"/>
              <w:jc w:val="lowKashida"/>
              <w:rPr>
                <w:rFonts w:ascii="B Nazanin" w:eastAsia="Times New Roman" w:hAnsi="B Nazanin" w:cs="B Nazanin"/>
                <w:sz w:val="28"/>
                <w:szCs w:val="28"/>
              </w:rPr>
            </w:pPr>
            <w:r w:rsidRPr="001C5236">
              <w:rPr>
                <w:rFonts w:ascii="B Nazanin" w:eastAsia="Times New Roman" w:hAnsi="B Nazanin" w:cs="B Nazanin"/>
                <w:sz w:val="28"/>
                <w:szCs w:val="28"/>
                <w:rtl/>
              </w:rPr>
              <w:t xml:space="preserve">بپرسید رستم که‏این اسپ کیست </w:t>
            </w:r>
          </w:p>
        </w:tc>
        <w:tc>
          <w:tcPr>
            <w:tcW w:w="0" w:type="auto"/>
            <w:vAlign w:val="center"/>
            <w:hideMark/>
          </w:tcPr>
          <w:p w:rsidR="001C5236" w:rsidRPr="001C5236" w:rsidRDefault="001C5236" w:rsidP="001C5236">
            <w:pPr>
              <w:bidi/>
              <w:spacing w:after="0" w:line="360" w:lineRule="auto"/>
              <w:jc w:val="lowKashida"/>
              <w:rPr>
                <w:rFonts w:ascii="B Nazanin" w:eastAsia="Times New Roman" w:hAnsi="B Nazanin" w:cs="B Nazanin"/>
                <w:sz w:val="28"/>
                <w:szCs w:val="28"/>
              </w:rPr>
            </w:pPr>
            <w:r w:rsidRPr="001C5236">
              <w:rPr>
                <w:rFonts w:ascii="B Nazanin" w:eastAsia="Times New Roman" w:hAnsi="B Nazanin" w:cs="B Nazanin"/>
                <w:sz w:val="28"/>
                <w:szCs w:val="28"/>
                <w:rtl/>
              </w:rPr>
              <w:t xml:space="preserve">که از داغ دو روی رانش تهیست </w:t>
            </w:r>
          </w:p>
        </w:tc>
      </w:tr>
      <w:tr w:rsidR="001C5236" w:rsidRPr="001C5236" w:rsidTr="001C5236">
        <w:trPr>
          <w:tblCellSpacing w:w="15" w:type="dxa"/>
        </w:trPr>
        <w:tc>
          <w:tcPr>
            <w:tcW w:w="0" w:type="auto"/>
            <w:vAlign w:val="center"/>
            <w:hideMark/>
          </w:tcPr>
          <w:p w:rsidR="001C5236" w:rsidRPr="001C5236" w:rsidRDefault="001C5236" w:rsidP="001C5236">
            <w:pPr>
              <w:bidi/>
              <w:spacing w:after="0" w:line="360" w:lineRule="auto"/>
              <w:jc w:val="lowKashida"/>
              <w:rPr>
                <w:rFonts w:ascii="B Nazanin" w:eastAsia="Times New Roman" w:hAnsi="B Nazanin" w:cs="B Nazanin"/>
                <w:sz w:val="28"/>
                <w:szCs w:val="28"/>
              </w:rPr>
            </w:pPr>
            <w:r w:rsidRPr="001C5236">
              <w:rPr>
                <w:rFonts w:ascii="B Nazanin" w:eastAsia="Times New Roman" w:hAnsi="B Nazanin" w:cs="B Nazanin"/>
                <w:sz w:val="28"/>
                <w:szCs w:val="28"/>
                <w:rtl/>
              </w:rPr>
              <w:t xml:space="preserve">چنین داد پاسخ که داغش مجوی </w:t>
            </w:r>
          </w:p>
        </w:tc>
        <w:tc>
          <w:tcPr>
            <w:tcW w:w="0" w:type="auto"/>
            <w:vAlign w:val="center"/>
            <w:hideMark/>
          </w:tcPr>
          <w:p w:rsidR="001C5236" w:rsidRPr="001C5236" w:rsidRDefault="001C5236" w:rsidP="001C5236">
            <w:pPr>
              <w:bidi/>
              <w:spacing w:after="0" w:line="360" w:lineRule="auto"/>
              <w:jc w:val="lowKashida"/>
              <w:rPr>
                <w:rFonts w:ascii="B Nazanin" w:eastAsia="Times New Roman" w:hAnsi="B Nazanin" w:cs="B Nazanin"/>
                <w:sz w:val="28"/>
                <w:szCs w:val="28"/>
              </w:rPr>
            </w:pPr>
            <w:r w:rsidRPr="001C5236">
              <w:rPr>
                <w:rFonts w:ascii="B Nazanin" w:eastAsia="Times New Roman" w:hAnsi="B Nazanin" w:cs="B Nazanin"/>
                <w:sz w:val="28"/>
                <w:szCs w:val="28"/>
                <w:rtl/>
              </w:rPr>
              <w:t xml:space="preserve">کزین هست هرگونه‏یی گفت‏وگوی </w:t>
            </w:r>
          </w:p>
        </w:tc>
      </w:tr>
      <w:tr w:rsidR="001C5236" w:rsidRPr="001C5236" w:rsidTr="001C5236">
        <w:trPr>
          <w:tblCellSpacing w:w="15" w:type="dxa"/>
        </w:trPr>
        <w:tc>
          <w:tcPr>
            <w:tcW w:w="0" w:type="auto"/>
            <w:vAlign w:val="center"/>
            <w:hideMark/>
          </w:tcPr>
          <w:p w:rsidR="001C5236" w:rsidRPr="001C5236" w:rsidRDefault="001C5236" w:rsidP="001C5236">
            <w:pPr>
              <w:bidi/>
              <w:spacing w:after="0" w:line="360" w:lineRule="auto"/>
              <w:jc w:val="lowKashida"/>
              <w:rPr>
                <w:rFonts w:ascii="B Nazanin" w:eastAsia="Times New Roman" w:hAnsi="B Nazanin" w:cs="B Nazanin"/>
                <w:sz w:val="28"/>
                <w:szCs w:val="28"/>
              </w:rPr>
            </w:pPr>
            <w:r w:rsidRPr="001C5236">
              <w:rPr>
                <w:rFonts w:ascii="B Nazanin" w:eastAsia="Times New Roman" w:hAnsi="B Nazanin" w:cs="B Nazanin"/>
                <w:sz w:val="28"/>
                <w:szCs w:val="28"/>
                <w:rtl/>
              </w:rPr>
              <w:t xml:space="preserve">خداوند این را ندانیم کس </w:t>
            </w:r>
          </w:p>
        </w:tc>
        <w:tc>
          <w:tcPr>
            <w:tcW w:w="0" w:type="auto"/>
            <w:vAlign w:val="center"/>
            <w:hideMark/>
          </w:tcPr>
          <w:p w:rsidR="001C5236" w:rsidRPr="001C5236" w:rsidRDefault="001C5236" w:rsidP="001C5236">
            <w:pPr>
              <w:bidi/>
              <w:spacing w:after="0" w:line="360" w:lineRule="auto"/>
              <w:jc w:val="lowKashida"/>
              <w:rPr>
                <w:rFonts w:ascii="B Nazanin" w:eastAsia="Times New Roman" w:hAnsi="B Nazanin" w:cs="B Nazanin"/>
                <w:sz w:val="28"/>
                <w:szCs w:val="28"/>
              </w:rPr>
            </w:pPr>
            <w:r w:rsidRPr="001C5236">
              <w:rPr>
                <w:rFonts w:ascii="B Nazanin" w:eastAsia="Times New Roman" w:hAnsi="B Nazanin" w:cs="B Nazanin"/>
                <w:sz w:val="28"/>
                <w:szCs w:val="28"/>
                <w:rtl/>
              </w:rPr>
              <w:t xml:space="preserve">همی رخش رستمش خوانیم و بس </w:t>
            </w:r>
          </w:p>
        </w:tc>
      </w:tr>
    </w:tbl>
    <w:p w:rsidR="001C5236" w:rsidRPr="001C5236" w:rsidRDefault="001C5236" w:rsidP="001C5236">
      <w:pPr>
        <w:bidi/>
        <w:spacing w:before="100" w:beforeAutospacing="1" w:after="100" w:afterAutospacing="1" w:line="360" w:lineRule="auto"/>
        <w:jc w:val="lowKashida"/>
        <w:rPr>
          <w:rFonts w:ascii="B Nazanin" w:eastAsia="Times New Roman" w:hAnsi="B Nazanin" w:cs="B Nazanin"/>
          <w:sz w:val="28"/>
          <w:szCs w:val="28"/>
        </w:rPr>
      </w:pPr>
      <w:r w:rsidRPr="001C5236">
        <w:rPr>
          <w:rFonts w:ascii="B Nazanin" w:eastAsia="Times New Roman" w:hAnsi="B Nazanin" w:cs="B Nazanin"/>
          <w:sz w:val="28"/>
          <w:szCs w:val="28"/>
        </w:rPr>
        <w:t>(</w:t>
      </w:r>
      <w:r w:rsidRPr="001C5236">
        <w:rPr>
          <w:rFonts w:ascii="B Nazanin" w:eastAsia="Times New Roman" w:hAnsi="B Nazanin" w:cs="B Nazanin"/>
          <w:sz w:val="28"/>
          <w:szCs w:val="28"/>
          <w:rtl/>
        </w:rPr>
        <w:t>چ. خالقی، ج 2، ص 336ـ335، ب 108ـ 105</w:t>
      </w:r>
      <w:r w:rsidRPr="001C5236">
        <w:rPr>
          <w:rFonts w:ascii="B Nazanin" w:eastAsia="Times New Roman" w:hAnsi="B Nazanin" w:cs="B Nazanin"/>
          <w:sz w:val="28"/>
          <w:szCs w:val="28"/>
        </w:rPr>
        <w:t>)</w:t>
      </w:r>
    </w:p>
    <w:p w:rsidR="001C5236" w:rsidRPr="001C5236" w:rsidRDefault="001C5236" w:rsidP="001C5236">
      <w:pPr>
        <w:bidi/>
        <w:spacing w:before="100" w:beforeAutospacing="1" w:after="100" w:afterAutospacing="1" w:line="360" w:lineRule="auto"/>
        <w:jc w:val="lowKashida"/>
        <w:rPr>
          <w:rFonts w:ascii="B Nazanin" w:eastAsia="Times New Roman" w:hAnsi="B Nazanin" w:cs="B Nazanin"/>
          <w:sz w:val="28"/>
          <w:szCs w:val="28"/>
        </w:rPr>
      </w:pPr>
      <w:r w:rsidRPr="001C5236">
        <w:rPr>
          <w:rFonts w:ascii="B Nazanin" w:eastAsia="Times New Roman" w:hAnsi="B Nazanin" w:cs="B Nazanin"/>
          <w:sz w:val="28"/>
          <w:szCs w:val="28"/>
          <w:rtl/>
        </w:rPr>
        <w:t>مسئله این است که چوپان در حالی که قطعا رستم را نمی‏شناسد، اسم رخش و تعلق‏داشتن رخش را به رستم از کجا می‏داند؟ امیدسالار با استناد به یک حماسه ارمنی و روایت شفاهی ایرانی صورت بدوی</w:t>
      </w:r>
      <w:r w:rsidRPr="001C5236">
        <w:rPr>
          <w:rFonts w:ascii="B Nazanin" w:eastAsia="Times New Roman" w:hAnsi="B Nazanin" w:cs="B Nazanin"/>
          <w:sz w:val="28"/>
          <w:szCs w:val="28"/>
        </w:rPr>
        <w:t xml:space="preserve"> (</w:t>
      </w:r>
      <w:proofErr w:type="spellStart"/>
      <w:r w:rsidRPr="001C5236">
        <w:rPr>
          <w:rFonts w:ascii="B Nazanin" w:eastAsia="Times New Roman" w:hAnsi="B Nazanin" w:cs="B Nazanin"/>
          <w:sz w:val="28"/>
          <w:szCs w:val="28"/>
        </w:rPr>
        <w:t>urform</w:t>
      </w:r>
      <w:proofErr w:type="spellEnd"/>
      <w:r w:rsidRPr="001C5236">
        <w:rPr>
          <w:rFonts w:ascii="B Nazanin" w:eastAsia="Times New Roman" w:hAnsi="B Nazanin" w:cs="B Nazanin"/>
          <w:sz w:val="28"/>
          <w:szCs w:val="28"/>
        </w:rPr>
        <w:t xml:space="preserve">) </w:t>
      </w:r>
      <w:r w:rsidRPr="001C5236">
        <w:rPr>
          <w:rFonts w:ascii="B Nazanin" w:eastAsia="Times New Roman" w:hAnsi="B Nazanin" w:cs="B Nazanin"/>
          <w:sz w:val="28"/>
          <w:szCs w:val="28"/>
          <w:rtl/>
        </w:rPr>
        <w:t xml:space="preserve">داستان را چنین بازسازی می‏کند: «... رستم پس از آزمایش اسپان متعدد، بالأخره در کنار دریا یا رودخانه یا در تپه‏ها به </w:t>
      </w:r>
      <w:r w:rsidRPr="001C5236">
        <w:rPr>
          <w:rFonts w:ascii="B Nazanin" w:eastAsia="Times New Roman" w:hAnsi="B Nazanin" w:cs="B Nazanin"/>
          <w:sz w:val="28"/>
          <w:szCs w:val="28"/>
          <w:rtl/>
        </w:rPr>
        <w:lastRenderedPageBreak/>
        <w:t>اسپی جادویی به نام رخش برمی‏خورد که از جهیدن اسپی دریایی بر مادیانی زمینی زاده شده بوده است. این اسپ دریایی پس از پوشاندن مادیان و معین‏کردن اسم کرّه و نام صاحب کرّه به دریا بازمی‏گردد</w:t>
      </w:r>
      <w:r w:rsidRPr="001C5236">
        <w:rPr>
          <w:rFonts w:ascii="B Nazanin" w:eastAsia="Times New Roman" w:hAnsi="B Nazanin" w:cs="B Nazanin"/>
          <w:sz w:val="28"/>
          <w:szCs w:val="28"/>
        </w:rPr>
        <w:t>».</w:t>
      </w:r>
    </w:p>
    <w:p w:rsidR="001C5236" w:rsidRPr="001C5236" w:rsidRDefault="001C5236" w:rsidP="001C5236">
      <w:pPr>
        <w:bidi/>
        <w:spacing w:before="100" w:beforeAutospacing="1" w:after="100" w:afterAutospacing="1" w:line="360" w:lineRule="auto"/>
        <w:jc w:val="lowKashida"/>
        <w:rPr>
          <w:rFonts w:ascii="B Nazanin" w:eastAsia="Times New Roman" w:hAnsi="B Nazanin" w:cs="B Nazanin"/>
          <w:sz w:val="28"/>
          <w:szCs w:val="28"/>
        </w:rPr>
      </w:pPr>
      <w:r w:rsidRPr="001C5236">
        <w:rPr>
          <w:rFonts w:ascii="B Nazanin" w:eastAsia="Times New Roman" w:hAnsi="B Nazanin" w:cs="B Nazanin"/>
          <w:sz w:val="28"/>
          <w:szCs w:val="28"/>
          <w:rtl/>
        </w:rPr>
        <w:t xml:space="preserve">امیدسالار با کنجکاوی در برخی قصّه‏های عامیانه (برای نمونه‏ای دیگر رک. مقاله </w:t>
      </w:r>
      <w:r w:rsidRPr="001C5236">
        <w:rPr>
          <w:rFonts w:ascii="B Nazanin" w:eastAsia="Times New Roman" w:hAnsi="B Nazanin" w:cs="B Nazanin"/>
          <w:sz w:val="28"/>
          <w:szCs w:val="28"/>
        </w:rPr>
        <w:t>«</w:t>
      </w:r>
      <w:r w:rsidRPr="001C5236">
        <w:rPr>
          <w:rFonts w:ascii="B Nazanin" w:eastAsia="Times New Roman" w:hAnsi="B Nazanin" w:cs="B Nazanin"/>
          <w:sz w:val="28"/>
          <w:szCs w:val="28"/>
          <w:rtl/>
        </w:rPr>
        <w:t xml:space="preserve">ضحاک پسر مرداس یا ضحاک آدمخوار») و مقایسه آنها با شاهنامه و منابع مکتوب دیگر به خوبی نشان می‏دهد که این قصه‏ها گاه ویژگیهای باستانی‏تری از متون معروف دارند (ص </w:t>
      </w:r>
      <w:r w:rsidRPr="001C5236">
        <w:rPr>
          <w:rFonts w:ascii="B Nazanin" w:eastAsia="Times New Roman" w:hAnsi="B Nazanin" w:cs="B Nazanin"/>
          <w:sz w:val="28"/>
          <w:szCs w:val="28"/>
        </w:rPr>
        <w:t>53).</w:t>
      </w:r>
    </w:p>
    <w:p w:rsidR="001C5236" w:rsidRPr="001C5236" w:rsidRDefault="001C5236" w:rsidP="001C5236">
      <w:pPr>
        <w:bidi/>
        <w:spacing w:before="100" w:beforeAutospacing="1" w:after="100" w:afterAutospacing="1" w:line="360" w:lineRule="auto"/>
        <w:jc w:val="lowKashida"/>
        <w:rPr>
          <w:rFonts w:ascii="B Nazanin" w:eastAsia="Times New Roman" w:hAnsi="B Nazanin" w:cs="B Nazanin"/>
          <w:sz w:val="28"/>
          <w:szCs w:val="28"/>
        </w:rPr>
      </w:pPr>
      <w:r w:rsidRPr="001C5236">
        <w:rPr>
          <w:rFonts w:ascii="B Nazanin" w:eastAsia="Times New Roman" w:hAnsi="B Nazanin" w:cs="B Nazanin"/>
          <w:sz w:val="28"/>
          <w:szCs w:val="28"/>
          <w:rtl/>
        </w:rPr>
        <w:t>امیدسالار در مقاله «شما را زمین، پرّ کرگس مرا» باز هم درباره بیتی بحث‏انگیز از داستان رستم و سهراب نظر جالبی عرضه می‏کند. هنگامی که رستم بر کاوس خشم می‏گیرد و از بارگاه او به حالت اعتراض بیرون می‏رود، می‏گوید</w:t>
      </w:r>
      <w:r w:rsidRPr="001C5236">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2433"/>
        <w:gridCol w:w="2302"/>
      </w:tblGrid>
      <w:tr w:rsidR="001C5236" w:rsidRPr="001C5236" w:rsidTr="001C5236">
        <w:trPr>
          <w:tblCellSpacing w:w="15" w:type="dxa"/>
        </w:trPr>
        <w:tc>
          <w:tcPr>
            <w:tcW w:w="0" w:type="auto"/>
            <w:vAlign w:val="center"/>
            <w:hideMark/>
          </w:tcPr>
          <w:p w:rsidR="001C5236" w:rsidRPr="001C5236" w:rsidRDefault="001C5236" w:rsidP="001C5236">
            <w:pPr>
              <w:bidi/>
              <w:spacing w:after="0" w:line="360" w:lineRule="auto"/>
              <w:jc w:val="lowKashida"/>
              <w:rPr>
                <w:rFonts w:ascii="B Nazanin" w:eastAsia="Times New Roman" w:hAnsi="B Nazanin" w:cs="B Nazanin"/>
                <w:sz w:val="28"/>
                <w:szCs w:val="28"/>
              </w:rPr>
            </w:pPr>
            <w:r w:rsidRPr="001C5236">
              <w:rPr>
                <w:rFonts w:ascii="B Nazanin" w:eastAsia="Times New Roman" w:hAnsi="B Nazanin" w:cs="B Nazanin"/>
                <w:sz w:val="28"/>
                <w:szCs w:val="28"/>
                <w:rtl/>
              </w:rPr>
              <w:t xml:space="preserve">به ایران نبینید ازین پس مرا </w:t>
            </w:r>
          </w:p>
        </w:tc>
        <w:tc>
          <w:tcPr>
            <w:tcW w:w="0" w:type="auto"/>
            <w:vAlign w:val="center"/>
            <w:hideMark/>
          </w:tcPr>
          <w:p w:rsidR="001C5236" w:rsidRPr="001C5236" w:rsidRDefault="001C5236" w:rsidP="001C5236">
            <w:pPr>
              <w:bidi/>
              <w:spacing w:after="0" w:line="360" w:lineRule="auto"/>
              <w:jc w:val="lowKashida"/>
              <w:rPr>
                <w:rFonts w:ascii="B Nazanin" w:eastAsia="Times New Roman" w:hAnsi="B Nazanin" w:cs="B Nazanin"/>
                <w:sz w:val="28"/>
                <w:szCs w:val="28"/>
              </w:rPr>
            </w:pPr>
            <w:r w:rsidRPr="001C5236">
              <w:rPr>
                <w:rFonts w:ascii="B Nazanin" w:eastAsia="Times New Roman" w:hAnsi="B Nazanin" w:cs="B Nazanin"/>
                <w:sz w:val="28"/>
                <w:szCs w:val="28"/>
                <w:rtl/>
              </w:rPr>
              <w:t xml:space="preserve">شما را زمین پرّ کرگس مرا </w:t>
            </w:r>
          </w:p>
        </w:tc>
      </w:tr>
    </w:tbl>
    <w:p w:rsidR="001C5236" w:rsidRPr="001C5236" w:rsidRDefault="001C5236" w:rsidP="001C5236">
      <w:pPr>
        <w:bidi/>
        <w:spacing w:before="100" w:beforeAutospacing="1" w:after="100" w:afterAutospacing="1" w:line="360" w:lineRule="auto"/>
        <w:jc w:val="lowKashida"/>
        <w:rPr>
          <w:rFonts w:ascii="B Nazanin" w:eastAsia="Times New Roman" w:hAnsi="B Nazanin" w:cs="B Nazanin"/>
          <w:sz w:val="28"/>
          <w:szCs w:val="28"/>
        </w:rPr>
      </w:pPr>
      <w:r w:rsidRPr="001C5236">
        <w:rPr>
          <w:rFonts w:ascii="B Nazanin" w:eastAsia="Times New Roman" w:hAnsi="B Nazanin" w:cs="B Nazanin"/>
          <w:sz w:val="28"/>
          <w:szCs w:val="28"/>
          <w:rtl/>
        </w:rPr>
        <w:t xml:space="preserve">به نظر امیدسالار پرّ کرگس در این بیت سوفار تیر نیست، بلکه بر کرگس فلکی یعنی </w:t>
      </w:r>
      <w:r w:rsidRPr="001C5236">
        <w:rPr>
          <w:rFonts w:ascii="B Nazanin" w:eastAsia="Times New Roman" w:hAnsi="B Nazanin" w:cs="B Nazanin"/>
          <w:sz w:val="28"/>
          <w:szCs w:val="28"/>
        </w:rPr>
        <w:t>«</w:t>
      </w:r>
      <w:r w:rsidRPr="001C5236">
        <w:rPr>
          <w:rFonts w:ascii="B Nazanin" w:eastAsia="Times New Roman" w:hAnsi="B Nazanin" w:cs="B Nazanin"/>
          <w:sz w:val="28"/>
          <w:szCs w:val="28"/>
          <w:rtl/>
        </w:rPr>
        <w:t>نسر طائر» دلالت دارد. رستم می‏گوید زمین از آنِ شما باشد و من از میان شما خواهم رفت و بر بالِ (پر) کرگس فلکی مأوا خواهم گزید</w:t>
      </w:r>
      <w:r w:rsidRPr="001C5236">
        <w:rPr>
          <w:rFonts w:ascii="B Nazanin" w:eastAsia="Times New Roman" w:hAnsi="B Nazanin" w:cs="B Nazanin"/>
          <w:sz w:val="28"/>
          <w:szCs w:val="28"/>
        </w:rPr>
        <w:t>.</w:t>
      </w:r>
    </w:p>
    <w:p w:rsidR="001C5236" w:rsidRPr="001C5236" w:rsidRDefault="001C5236" w:rsidP="001C5236">
      <w:pPr>
        <w:bidi/>
        <w:spacing w:before="100" w:beforeAutospacing="1" w:after="100" w:afterAutospacing="1" w:line="360" w:lineRule="auto"/>
        <w:jc w:val="lowKashida"/>
        <w:rPr>
          <w:rFonts w:ascii="B Nazanin" w:eastAsia="Times New Roman" w:hAnsi="B Nazanin" w:cs="B Nazanin"/>
          <w:sz w:val="28"/>
          <w:szCs w:val="28"/>
        </w:rPr>
      </w:pPr>
      <w:r w:rsidRPr="001C5236">
        <w:rPr>
          <w:rFonts w:ascii="B Nazanin" w:eastAsia="Times New Roman" w:hAnsi="B Nazanin" w:cs="B Nazanin"/>
          <w:sz w:val="28"/>
          <w:szCs w:val="28"/>
          <w:rtl/>
        </w:rPr>
        <w:t xml:space="preserve">فهرست مقاله‏های دیگر این مجموعه بدین شرح است: بخش اول، فردوسی و شاهنامه: «راز رویین‏تنی اسفندیار»؛ «درباره بیتی از هجونامه فردوسی»؛ «رستم و سهراب و زیربنای منطقی حکایت»؛ «بعضی احادیث نبوی در شاهنامه»؛ «تیغ درم یا سیمین‏قلم؟»؛ «سه‏کتاب درباره فردوسی و شاهنامه»؛ «بدیهه‏سرایی شفـاهـی و شاهنامه (دو نـامـه از جلال خـالقی مطـلق»؛ «گُش شوراندن و ستیخ»؛ «گُش شوراندن در شاهنامه»؛ «نکته‏ای در شاهنامهشناسی و تصحیح متن تاریخ سیستان»؛ «هفت‏خان رستم، بیژن و منیژه»؛ «اسفندیار و آشیل»؛ </w:t>
      </w:r>
      <w:r w:rsidRPr="001C5236">
        <w:rPr>
          <w:rFonts w:ascii="B Nazanin" w:eastAsia="Times New Roman" w:hAnsi="B Nazanin" w:cs="B Nazanin"/>
          <w:sz w:val="28"/>
          <w:szCs w:val="28"/>
          <w:rtl/>
        </w:rPr>
        <w:lastRenderedPageBreak/>
        <w:t>«مسعود سعد سلمان و شاهنامه فردوسی»؛ «کُنج یا گنج در مقدّمه رستم و سهراب»؛ «شاهنامه فردوسی و هویت فرهنگی محمود غزنوی</w:t>
      </w:r>
      <w:r w:rsidRPr="001C5236">
        <w:rPr>
          <w:rFonts w:ascii="B Nazanin" w:eastAsia="Times New Roman" w:hAnsi="B Nazanin" w:cs="B Nazanin"/>
          <w:sz w:val="28"/>
          <w:szCs w:val="28"/>
        </w:rPr>
        <w:t>».</w:t>
      </w:r>
    </w:p>
    <w:p w:rsidR="001C5236" w:rsidRPr="001C5236" w:rsidRDefault="001C5236" w:rsidP="001C5236">
      <w:pPr>
        <w:bidi/>
        <w:spacing w:before="100" w:beforeAutospacing="1" w:after="100" w:afterAutospacing="1" w:line="360" w:lineRule="auto"/>
        <w:jc w:val="lowKashida"/>
        <w:rPr>
          <w:rFonts w:ascii="B Nazanin" w:eastAsia="Times New Roman" w:hAnsi="B Nazanin" w:cs="B Nazanin"/>
          <w:sz w:val="28"/>
          <w:szCs w:val="28"/>
        </w:rPr>
      </w:pPr>
      <w:r w:rsidRPr="001C5236">
        <w:rPr>
          <w:rFonts w:ascii="B Nazanin" w:eastAsia="Times New Roman" w:hAnsi="B Nazanin" w:cs="B Nazanin"/>
          <w:sz w:val="28"/>
          <w:szCs w:val="28"/>
          <w:rtl/>
        </w:rPr>
        <w:t xml:space="preserve">بخش دوم، مباحث ادبی: «ملاحظاتی درباره لطائف عبید زاکانی (رساله دلگشا)»؛ </w:t>
      </w:r>
      <w:r w:rsidRPr="001C5236">
        <w:rPr>
          <w:rFonts w:ascii="B Nazanin" w:eastAsia="Times New Roman" w:hAnsi="B Nazanin" w:cs="B Nazanin"/>
          <w:sz w:val="28"/>
          <w:szCs w:val="28"/>
        </w:rPr>
        <w:t>«</w:t>
      </w:r>
      <w:r w:rsidRPr="001C5236">
        <w:rPr>
          <w:rFonts w:ascii="B Nazanin" w:eastAsia="Times New Roman" w:hAnsi="B Nazanin" w:cs="B Nazanin"/>
          <w:sz w:val="28"/>
          <w:szCs w:val="28"/>
          <w:rtl/>
        </w:rPr>
        <w:t xml:space="preserve">معرفی چند مورد از منابع اشارات سعدی»؛ «شهادت درخت و قاضی‏القضاة ابوالعباس رویانی»؛ «اضافاتی بر حواشی اسرارالتوحید، تصحیح دکتر شفیعی کدکنی»؛ «دو مثل فارسی در متون عرب»؛ «ملاحظاتی بر داستان رجم زنان زناکار در مصیبت‏نامه عطار»؛ «هفت‏پیکر نظامی و ادب مصر باستان»؛ «بچه‏ها سلام (صبحی و فولکلور ایران)»؛ «باز هم درباره بنی‏آدم؛ نقـد و بررسـی تحفـة‏الغـرائب، تصحیح دکتـر جـلال متینـی»؛ «ملاحظاتی پیرامون سیرالملوک ابن المقفع» (برای نقدی بر نظر امیدسالار در این مقاله، رک. به مقاله نگارنده با عنوان «سرگذشت سیرالملوک ابن مقفع» در یادنامه دکتر احمد تفضلی، به کوشش علی‏اشرف صادقی، تهران، 1379، ص 163 تا 177)؛ «متن یک نامه بازیافته از روزگار سلطان محمود غزنوی»؛ «نکاتی درباره متن گرشاسپنامه»؛ «اسب رود یا اسب زوذ؟ </w:t>
      </w:r>
      <w:r w:rsidRPr="001C5236">
        <w:rPr>
          <w:rFonts w:ascii="B Nazanin" w:eastAsia="Times New Roman" w:hAnsi="B Nazanin" w:cs="B Nazanin"/>
          <w:sz w:val="28"/>
          <w:szCs w:val="28"/>
        </w:rPr>
        <w:t>(</w:t>
      </w:r>
      <w:r w:rsidRPr="001C5236">
        <w:rPr>
          <w:rFonts w:ascii="B Nazanin" w:eastAsia="Times New Roman" w:hAnsi="B Nazanin" w:cs="B Nazanin"/>
          <w:sz w:val="28"/>
          <w:szCs w:val="28"/>
          <w:rtl/>
        </w:rPr>
        <w:t xml:space="preserve">نکته‏ای در تصحیح گرشاسپنامه)»؛ «بیان ادبی و بیان عامیانه در حماسه‏های فارسی»؛ </w:t>
      </w:r>
      <w:r w:rsidRPr="001C5236">
        <w:rPr>
          <w:rFonts w:ascii="B Nazanin" w:eastAsia="Times New Roman" w:hAnsi="B Nazanin" w:cs="B Nazanin"/>
          <w:sz w:val="28"/>
          <w:szCs w:val="28"/>
        </w:rPr>
        <w:t>«</w:t>
      </w:r>
      <w:r w:rsidRPr="001C5236">
        <w:rPr>
          <w:rFonts w:ascii="B Nazanin" w:eastAsia="Times New Roman" w:hAnsi="B Nazanin" w:cs="B Nazanin"/>
          <w:sz w:val="28"/>
          <w:szCs w:val="28"/>
          <w:rtl/>
        </w:rPr>
        <w:t>درباره حسنک وزیر»؛ «تأملاتی پیرامون ساده‏انگاری</w:t>
      </w:r>
      <w:r w:rsidRPr="001C5236">
        <w:rPr>
          <w:rFonts w:ascii="B Nazanin" w:eastAsia="Times New Roman" w:hAnsi="B Nazanin" w:cs="B Nazanin"/>
          <w:sz w:val="28"/>
          <w:szCs w:val="28"/>
        </w:rPr>
        <w:t>».</w:t>
      </w:r>
    </w:p>
    <w:p w:rsidR="001C5236" w:rsidRPr="001C5236" w:rsidRDefault="001C5236" w:rsidP="001C5236">
      <w:pPr>
        <w:bidi/>
        <w:spacing w:before="100" w:beforeAutospacing="1" w:after="100" w:afterAutospacing="1" w:line="360" w:lineRule="auto"/>
        <w:jc w:val="lowKashida"/>
        <w:rPr>
          <w:rFonts w:ascii="B Nazanin" w:eastAsia="Times New Roman" w:hAnsi="B Nazanin" w:cs="B Nazanin"/>
          <w:sz w:val="28"/>
          <w:szCs w:val="28"/>
        </w:rPr>
      </w:pPr>
      <w:r w:rsidRPr="001C5236">
        <w:rPr>
          <w:rFonts w:ascii="B Nazanin" w:eastAsia="Times New Roman" w:hAnsi="B Nazanin" w:cs="B Nazanin"/>
          <w:sz w:val="28"/>
          <w:szCs w:val="28"/>
          <w:rtl/>
        </w:rPr>
        <w:t xml:space="preserve">بخش سوم، مقالات انگلیسی: «بازگویی داستانهای پهلوانی در ایران»؛ «نبرد با اژدها در حماسه‏های ملی ایران»؛ «زره آسیب‏ناپذیر در فولکلور ایرانی: نوعی مصالحه بین دو آرزوی متباین پهلوان، بازگشت به بطن مادر برای مصونیت کامل و فعالیتهای جنگی»؛ </w:t>
      </w:r>
      <w:r w:rsidRPr="001C5236">
        <w:rPr>
          <w:rFonts w:ascii="B Nazanin" w:eastAsia="Times New Roman" w:hAnsi="B Nazanin" w:cs="B Nazanin"/>
          <w:sz w:val="28"/>
          <w:szCs w:val="28"/>
        </w:rPr>
        <w:t>«</w:t>
      </w:r>
      <w:r w:rsidRPr="001C5236">
        <w:rPr>
          <w:rFonts w:ascii="B Nazanin" w:eastAsia="Times New Roman" w:hAnsi="B Nazanin" w:cs="B Nazanin"/>
          <w:sz w:val="28"/>
          <w:szCs w:val="28"/>
          <w:rtl/>
        </w:rPr>
        <w:t>نمادهای آرزومندی و تعلّق در داستان رستم و سهراب»؛ «آیا شاهنامه یکی از منابع ثعالبی بوده است»؛ «ببر بیان: نکاتی درباره فولکلور ایران و ریشه‏شناسی» (این مقاله تحریر مفصل همان مقاله‏ای است که در بخش مقاله‏های فارسی از آن یاد شده است</w:t>
      </w:r>
      <w:r w:rsidRPr="001C5236">
        <w:rPr>
          <w:rFonts w:ascii="B Nazanin" w:eastAsia="Times New Roman" w:hAnsi="B Nazanin" w:cs="B Nazanin"/>
          <w:sz w:val="28"/>
          <w:szCs w:val="28"/>
        </w:rPr>
        <w:t>).</w:t>
      </w:r>
    </w:p>
    <w:p w:rsidR="001C5236" w:rsidRPr="001C5236" w:rsidRDefault="001C5236" w:rsidP="001C5236">
      <w:pPr>
        <w:bidi/>
        <w:spacing w:before="100" w:beforeAutospacing="1" w:after="100" w:afterAutospacing="1" w:line="360" w:lineRule="auto"/>
        <w:jc w:val="lowKashida"/>
        <w:rPr>
          <w:rFonts w:ascii="B Nazanin" w:eastAsia="Times New Roman" w:hAnsi="B Nazanin" w:cs="B Nazanin"/>
          <w:sz w:val="28"/>
          <w:szCs w:val="28"/>
        </w:rPr>
      </w:pPr>
      <w:r w:rsidRPr="001C5236">
        <w:rPr>
          <w:rFonts w:ascii="B Nazanin" w:eastAsia="Times New Roman" w:hAnsi="B Nazanin" w:cs="B Nazanin"/>
          <w:sz w:val="28"/>
          <w:szCs w:val="28"/>
          <w:rtl/>
        </w:rPr>
        <w:t xml:space="preserve">در پایان شایسته است این نکته را خاطر نشان سازم که لازم بود مشخصات کامل منابعی که مقاله‏های این مجموعه پیشتر در آنها به چاپ رسیده بود داده می‏شد؛ در حالی که در زیر عنوان مقاله‏ها تنها سال چاپ آن </w:t>
      </w:r>
      <w:r w:rsidRPr="001C5236">
        <w:rPr>
          <w:rFonts w:ascii="B Nazanin" w:eastAsia="Times New Roman" w:hAnsi="B Nazanin" w:cs="B Nazanin"/>
          <w:sz w:val="28"/>
          <w:szCs w:val="28"/>
          <w:rtl/>
        </w:rPr>
        <w:lastRenderedPageBreak/>
        <w:t>مقاله‏ها درج شده است. در مورد مقاله‏های فارسی، در یادداشت آغاز کتاب گفته شده است که همه آنها در مجله ایران‏شناسی به چاپ رسیده‏اند. اما منابع مقاله‏های انگلیسی معلوم نیست</w:t>
      </w:r>
      <w:r w:rsidRPr="001C5236">
        <w:rPr>
          <w:rFonts w:ascii="B Nazanin" w:eastAsia="Times New Roman" w:hAnsi="B Nazanin" w:cs="B Nazanin"/>
          <w:sz w:val="28"/>
          <w:szCs w:val="28"/>
        </w:rPr>
        <w:t>.</w:t>
      </w:r>
    </w:p>
    <w:p w:rsidR="00E94446" w:rsidRPr="001C5236" w:rsidRDefault="00E94446" w:rsidP="001C5236">
      <w:pPr>
        <w:bidi/>
        <w:spacing w:line="360" w:lineRule="auto"/>
        <w:jc w:val="lowKashida"/>
        <w:rPr>
          <w:rFonts w:ascii="B Nazanin" w:hAnsi="B Nazanin" w:cs="B Nazanin"/>
          <w:sz w:val="28"/>
          <w:szCs w:val="28"/>
        </w:rPr>
      </w:pPr>
    </w:p>
    <w:sectPr w:rsidR="00E94446" w:rsidRPr="001C5236"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C5236"/>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236"/>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4B88"/>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2F2"/>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C5236"/>
    <w:rPr>
      <w:color w:val="0000FF"/>
      <w:u w:val="single"/>
    </w:rPr>
  </w:style>
  <w:style w:type="character" w:customStyle="1" w:styleId="pagecount">
    <w:name w:val="pagecount"/>
    <w:basedOn w:val="DefaultParagraphFont"/>
    <w:rsid w:val="001C5236"/>
  </w:style>
  <w:style w:type="character" w:customStyle="1" w:styleId="pageno">
    <w:name w:val="pageno"/>
    <w:basedOn w:val="DefaultParagraphFont"/>
    <w:rsid w:val="001C5236"/>
  </w:style>
  <w:style w:type="character" w:customStyle="1" w:styleId="magsimg">
    <w:name w:val="magsimg"/>
    <w:basedOn w:val="DefaultParagraphFont"/>
    <w:rsid w:val="001C5236"/>
  </w:style>
  <w:style w:type="paragraph" w:styleId="NormalWeb">
    <w:name w:val="Normal (Web)"/>
    <w:basedOn w:val="Normal"/>
    <w:uiPriority w:val="99"/>
    <w:semiHidden/>
    <w:unhideWhenUsed/>
    <w:rsid w:val="001C52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1C523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707800">
      <w:bodyDiv w:val="1"/>
      <w:marLeft w:val="0"/>
      <w:marRight w:val="0"/>
      <w:marTop w:val="0"/>
      <w:marBottom w:val="0"/>
      <w:divBdr>
        <w:top w:val="none" w:sz="0" w:space="0" w:color="auto"/>
        <w:left w:val="none" w:sz="0" w:space="0" w:color="auto"/>
        <w:bottom w:val="none" w:sz="0" w:space="0" w:color="auto"/>
        <w:right w:val="none" w:sz="0" w:space="0" w:color="auto"/>
      </w:divBdr>
      <w:divsChild>
        <w:div w:id="693575335">
          <w:marLeft w:val="0"/>
          <w:marRight w:val="0"/>
          <w:marTop w:val="0"/>
          <w:marBottom w:val="0"/>
          <w:divBdr>
            <w:top w:val="none" w:sz="0" w:space="0" w:color="auto"/>
            <w:left w:val="none" w:sz="0" w:space="0" w:color="auto"/>
            <w:bottom w:val="none" w:sz="0" w:space="0" w:color="auto"/>
            <w:right w:val="none" w:sz="0" w:space="0" w:color="auto"/>
          </w:divBdr>
          <w:divsChild>
            <w:div w:id="257755704">
              <w:marLeft w:val="0"/>
              <w:marRight w:val="0"/>
              <w:marTop w:val="0"/>
              <w:marBottom w:val="0"/>
              <w:divBdr>
                <w:top w:val="none" w:sz="0" w:space="0" w:color="auto"/>
                <w:left w:val="none" w:sz="0" w:space="0" w:color="auto"/>
                <w:bottom w:val="none" w:sz="0" w:space="0" w:color="auto"/>
                <w:right w:val="none" w:sz="0" w:space="0" w:color="auto"/>
              </w:divBdr>
              <w:divsChild>
                <w:div w:id="874737140">
                  <w:marLeft w:val="0"/>
                  <w:marRight w:val="0"/>
                  <w:marTop w:val="0"/>
                  <w:marBottom w:val="0"/>
                  <w:divBdr>
                    <w:top w:val="none" w:sz="0" w:space="0" w:color="auto"/>
                    <w:left w:val="none" w:sz="0" w:space="0" w:color="auto"/>
                    <w:bottom w:val="none" w:sz="0" w:space="0" w:color="auto"/>
                    <w:right w:val="none" w:sz="0" w:space="0" w:color="auto"/>
                  </w:divBdr>
                </w:div>
                <w:div w:id="1076245931">
                  <w:marLeft w:val="0"/>
                  <w:marRight w:val="0"/>
                  <w:marTop w:val="0"/>
                  <w:marBottom w:val="0"/>
                  <w:divBdr>
                    <w:top w:val="none" w:sz="0" w:space="0" w:color="auto"/>
                    <w:left w:val="none" w:sz="0" w:space="0" w:color="auto"/>
                    <w:bottom w:val="none" w:sz="0" w:space="0" w:color="auto"/>
                    <w:right w:val="none" w:sz="0" w:space="0" w:color="auto"/>
                  </w:divBdr>
                </w:div>
                <w:div w:id="167137859">
                  <w:marLeft w:val="0"/>
                  <w:marRight w:val="0"/>
                  <w:marTop w:val="0"/>
                  <w:marBottom w:val="0"/>
                  <w:divBdr>
                    <w:top w:val="none" w:sz="0" w:space="0" w:color="auto"/>
                    <w:left w:val="none" w:sz="0" w:space="0" w:color="auto"/>
                    <w:bottom w:val="none" w:sz="0" w:space="0" w:color="auto"/>
                    <w:right w:val="none" w:sz="0" w:space="0" w:color="auto"/>
                  </w:divBdr>
                </w:div>
                <w:div w:id="2053191625">
                  <w:marLeft w:val="0"/>
                  <w:marRight w:val="0"/>
                  <w:marTop w:val="0"/>
                  <w:marBottom w:val="0"/>
                  <w:divBdr>
                    <w:top w:val="none" w:sz="0" w:space="0" w:color="auto"/>
                    <w:left w:val="none" w:sz="0" w:space="0" w:color="auto"/>
                    <w:bottom w:val="none" w:sz="0" w:space="0" w:color="auto"/>
                    <w:right w:val="none" w:sz="0" w:space="0" w:color="auto"/>
                  </w:divBdr>
                </w:div>
                <w:div w:id="611283433">
                  <w:marLeft w:val="0"/>
                  <w:marRight w:val="0"/>
                  <w:marTop w:val="0"/>
                  <w:marBottom w:val="0"/>
                  <w:divBdr>
                    <w:top w:val="none" w:sz="0" w:space="0" w:color="auto"/>
                    <w:left w:val="none" w:sz="0" w:space="0" w:color="auto"/>
                    <w:bottom w:val="none" w:sz="0" w:space="0" w:color="auto"/>
                    <w:right w:val="none" w:sz="0" w:space="0" w:color="auto"/>
                  </w:divBdr>
                </w:div>
              </w:divsChild>
            </w:div>
            <w:div w:id="608506895">
              <w:marLeft w:val="0"/>
              <w:marRight w:val="0"/>
              <w:marTop w:val="0"/>
              <w:marBottom w:val="0"/>
              <w:divBdr>
                <w:top w:val="none" w:sz="0" w:space="0" w:color="auto"/>
                <w:left w:val="none" w:sz="0" w:space="0" w:color="auto"/>
                <w:bottom w:val="none" w:sz="0" w:space="0" w:color="auto"/>
                <w:right w:val="none" w:sz="0" w:space="0" w:color="auto"/>
              </w:divBdr>
              <w:divsChild>
                <w:div w:id="450900389">
                  <w:marLeft w:val="0"/>
                  <w:marRight w:val="0"/>
                  <w:marTop w:val="0"/>
                  <w:marBottom w:val="0"/>
                  <w:divBdr>
                    <w:top w:val="none" w:sz="0" w:space="0" w:color="auto"/>
                    <w:left w:val="none" w:sz="0" w:space="0" w:color="auto"/>
                    <w:bottom w:val="none" w:sz="0" w:space="0" w:color="auto"/>
                    <w:right w:val="none" w:sz="0" w:space="0" w:color="auto"/>
                  </w:divBdr>
                </w:div>
              </w:divsChild>
            </w:div>
            <w:div w:id="1498571866">
              <w:marLeft w:val="0"/>
              <w:marRight w:val="0"/>
              <w:marTop w:val="0"/>
              <w:marBottom w:val="0"/>
              <w:divBdr>
                <w:top w:val="none" w:sz="0" w:space="0" w:color="auto"/>
                <w:left w:val="none" w:sz="0" w:space="0" w:color="auto"/>
                <w:bottom w:val="none" w:sz="0" w:space="0" w:color="auto"/>
                <w:right w:val="none" w:sz="0" w:space="0" w:color="auto"/>
              </w:divBdr>
              <w:divsChild>
                <w:div w:id="579486704">
                  <w:marLeft w:val="0"/>
                  <w:marRight w:val="0"/>
                  <w:marTop w:val="0"/>
                  <w:marBottom w:val="0"/>
                  <w:divBdr>
                    <w:top w:val="none" w:sz="0" w:space="0" w:color="auto"/>
                    <w:left w:val="none" w:sz="0" w:space="0" w:color="auto"/>
                    <w:bottom w:val="none" w:sz="0" w:space="0" w:color="auto"/>
                    <w:right w:val="none" w:sz="0" w:space="0" w:color="auto"/>
                  </w:divBdr>
                </w:div>
              </w:divsChild>
            </w:div>
            <w:div w:id="1982885743">
              <w:marLeft w:val="0"/>
              <w:marRight w:val="0"/>
              <w:marTop w:val="0"/>
              <w:marBottom w:val="0"/>
              <w:divBdr>
                <w:top w:val="none" w:sz="0" w:space="0" w:color="auto"/>
                <w:left w:val="none" w:sz="0" w:space="0" w:color="auto"/>
                <w:bottom w:val="none" w:sz="0" w:space="0" w:color="auto"/>
                <w:right w:val="none" w:sz="0" w:space="0" w:color="auto"/>
              </w:divBdr>
              <w:divsChild>
                <w:div w:id="181155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1728</Words>
  <Characters>9851</Characters>
  <Application>Microsoft Office Word</Application>
  <DocSecurity>0</DocSecurity>
  <Lines>82</Lines>
  <Paragraphs>23</Paragraphs>
  <ScaleCrop>false</ScaleCrop>
  <Company>MRT www.Win2Farsi.com</Company>
  <LinksUpToDate>false</LinksUpToDate>
  <CharactersWithSpaces>11556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2010-07-15T14:23:00Z</dcterms:created>
  <dcterms:modified xsi:type="dcterms:W3CDTF">2010-07-15T14:41:00Z</dcterms:modified>
</cp:coreProperties>
</file>