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BB" w:rsidRPr="00C71ABB" w:rsidRDefault="00C71ABB" w:rsidP="00C71ABB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C71ABB">
        <w:rPr>
          <w:rFonts w:ascii="B Nazanin" w:eastAsia="Times New Roman" w:hAnsi="B Nazanin" w:cs="B Nazanin"/>
          <w:b/>
          <w:bCs/>
          <w:sz w:val="28"/>
          <w:szCs w:val="28"/>
          <w:rtl/>
        </w:rPr>
        <w:t>«برج آبی</w:t>
      </w:r>
      <w:r w:rsidRPr="00C71ABB">
        <w:rPr>
          <w:rFonts w:ascii="B Nazanin" w:eastAsia="Times New Roman" w:hAnsi="B Nazanin" w:cs="B Nazanin" w:hint="cs"/>
          <w:b/>
          <w:bCs/>
          <w:sz w:val="28"/>
          <w:szCs w:val="28"/>
          <w:rtl/>
        </w:rPr>
        <w:t>»</w:t>
      </w:r>
      <w:r w:rsidRPr="00C71ABB">
        <w:rPr>
          <w:rFonts w:ascii="B Nazanin" w:eastAsia="Times New Roman" w:hAnsi="B Nazanin" w:cs="B Nazanin"/>
          <w:b/>
          <w:bCs/>
          <w:sz w:val="28"/>
          <w:szCs w:val="28"/>
        </w:rPr>
        <w:t xml:space="preserve"> </w:t>
      </w:r>
    </w:p>
    <w:p w:rsidR="00C71ABB" w:rsidRPr="00C71ABB" w:rsidRDefault="00C71ABB" w:rsidP="00C71ABB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71ABB">
        <w:rPr>
          <w:rFonts w:ascii="B Nazanin" w:eastAsia="Times New Roman" w:hAnsi="B Nazanin" w:cs="B Nazanin"/>
          <w:b/>
          <w:bCs/>
          <w:sz w:val="28"/>
          <w:szCs w:val="28"/>
          <w:rtl/>
        </w:rPr>
        <w:t>نویسنده : حدیدی، جواد</w:t>
      </w:r>
    </w:p>
    <w:p w:rsidR="00C71ABB" w:rsidRPr="00C71ABB" w:rsidRDefault="00C71ABB" w:rsidP="00C71ABB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</w:p>
    <w:p w:rsidR="00C71ABB" w:rsidRPr="00C71ABB" w:rsidRDefault="00C71ABB" w:rsidP="00C71AB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71ABB">
        <w:rPr>
          <w:rFonts w:ascii="B Nazanin" w:eastAsia="Times New Roman" w:hAnsi="B Nazanin" w:cs="B Nazanin"/>
          <w:sz w:val="28"/>
          <w:szCs w:val="28"/>
          <w:rtl/>
        </w:rPr>
        <w:t>چندی پیش در همایش بین‏المللی جامی، منعقد در دانشگاه استراسبورگ، خانم کلر کاپلر، یکی از بانوان ایران‏دوست و ایران‏شناس فرانسوی، برای تنظیم مقاله‏ای درباره یوسف و زلیخای جامی به مشکلاتی برخورده بود که با نگارنده در میان گذاشت</w:t>
      </w:r>
      <w:r w:rsidRPr="00C71ABB">
        <w:rPr>
          <w:rFonts w:ascii="B Nazanin" w:eastAsia="Times New Roman" w:hAnsi="B Nazanin" w:cs="B Nazanin"/>
          <w:sz w:val="28"/>
          <w:szCs w:val="28"/>
        </w:rPr>
        <w:t>.</w:t>
      </w:r>
      <w:r w:rsidRPr="00C71ABB">
        <w:rPr>
          <w:rFonts w:ascii="B Nazanin" w:eastAsia="Times New Roman" w:hAnsi="B Nazanin" w:cs="B Nazanin"/>
          <w:sz w:val="28"/>
          <w:szCs w:val="28"/>
          <w:vertAlign w:val="superscript"/>
        </w:rPr>
        <w:t>(1)</w:t>
      </w:r>
      <w:r w:rsidRPr="00C71ABB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C71ABB">
        <w:rPr>
          <w:rFonts w:ascii="B Nazanin" w:eastAsia="Times New Roman" w:hAnsi="B Nazanin" w:cs="B Nazanin"/>
          <w:sz w:val="28"/>
          <w:szCs w:val="28"/>
          <w:rtl/>
        </w:rPr>
        <w:t xml:space="preserve">چون مطلب مفصل بود و بحث درباره آن به درازا می‏کشید، خانم کاپلر و همسرش از نگارنده و آقای دکتر حسین بیک باغبان، برگزار کننده همایش و رئیس بخش خاورشناسی دانشگاه استراسبورگ، دعوت کردند که روز بعد به منزل ایشان برویم و در آن‏جا متن یوسف و زلیخا را بررسی و مشکلات ایشان را حل کنیم. البته این متن در سال </w:t>
      </w:r>
      <w:r w:rsidRPr="00C71ABB">
        <w:rPr>
          <w:rFonts w:ascii="B Nazanin" w:eastAsia="Times New Roman" w:hAnsi="B Nazanin" w:cs="B Nazanin"/>
          <w:sz w:val="28"/>
          <w:szCs w:val="28"/>
        </w:rPr>
        <w:t xml:space="preserve">1927 </w:t>
      </w:r>
      <w:r w:rsidRPr="00C71ABB">
        <w:rPr>
          <w:rFonts w:ascii="B Nazanin" w:eastAsia="Times New Roman" w:hAnsi="B Nazanin" w:cs="B Nazanin"/>
          <w:sz w:val="28"/>
          <w:szCs w:val="28"/>
          <w:rtl/>
        </w:rPr>
        <w:t>به‏وسیله اوگوست بریکتو، ایران‏شناس بلژیکی، به زبان فرانسه درآمده و موفقیتی هم کسب کرده است</w:t>
      </w:r>
      <w:r w:rsidRPr="00C71ABB">
        <w:rPr>
          <w:rFonts w:ascii="B Nazanin" w:eastAsia="Times New Roman" w:hAnsi="B Nazanin" w:cs="B Nazanin"/>
          <w:sz w:val="28"/>
          <w:szCs w:val="28"/>
        </w:rPr>
        <w:t>.</w:t>
      </w:r>
      <w:r w:rsidRPr="00C71ABB">
        <w:rPr>
          <w:rFonts w:ascii="B Nazanin" w:eastAsia="Times New Roman" w:hAnsi="B Nazanin" w:cs="B Nazanin"/>
          <w:sz w:val="28"/>
          <w:szCs w:val="28"/>
          <w:vertAlign w:val="superscript"/>
        </w:rPr>
        <w:t>(2)</w:t>
      </w:r>
      <w:r w:rsidRPr="00C71ABB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C71ABB">
        <w:rPr>
          <w:rFonts w:ascii="B Nazanin" w:eastAsia="Times New Roman" w:hAnsi="B Nazanin" w:cs="B Nazanin"/>
          <w:sz w:val="28"/>
          <w:szCs w:val="28"/>
          <w:rtl/>
        </w:rPr>
        <w:t>ولی ترجمه او، مانند اکثر این‏گونه ترجمه‏ها، پاسخگوی همه مشکلات موجود در متن نیست و مترجم گاه دچار سهوالقلم و اشتباه شده و یا اصولاً از ترجمه ابیات دشوار چشم پوشیده است. بنابراین، از ترجمه او کاری ساخته نبود. خانم کاپلر هم، با وجود این‏که همه اتاقها و حتی راهروهای منزلش از کتاب آکنده بود، مأخذ مناسبی نداشت که ما را یاری دهد. ناگزیر بخشهایی از متن را بیت به بیت خواندیم و به شرح و تفسیر آن پرداختیم. یکی از دشواریهایی که در آن مجلس حل ناشده ماند و شرح آن به بعد و به مراجعت نگارنده به ایران موکول شد، عبارت «برج آبی» در بیت زیر بود</w:t>
      </w:r>
      <w:r w:rsidRPr="00C71ABB">
        <w:rPr>
          <w:rFonts w:ascii="B Nazanin" w:eastAsia="Times New Roman" w:hAnsi="B Nazanin" w:cs="B Nazanin"/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2"/>
        <w:gridCol w:w="2703"/>
      </w:tblGrid>
      <w:tr w:rsidR="00C71ABB" w:rsidRPr="00C71ABB" w:rsidTr="00C71A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ABB" w:rsidRPr="00C71ABB" w:rsidRDefault="00C71ABB" w:rsidP="00C71ABB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C71ABB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به دریا پا نهاد از سوی ساحل </w:t>
            </w:r>
          </w:p>
        </w:tc>
        <w:tc>
          <w:tcPr>
            <w:tcW w:w="0" w:type="auto"/>
            <w:vAlign w:val="center"/>
            <w:hideMark/>
          </w:tcPr>
          <w:p w:rsidR="00C71ABB" w:rsidRPr="00C71ABB" w:rsidRDefault="00C71ABB" w:rsidP="00C71ABB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C71ABB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چو مه در «برج آبی» کرد منزل </w:t>
            </w:r>
          </w:p>
        </w:tc>
      </w:tr>
    </w:tbl>
    <w:p w:rsidR="00C71ABB" w:rsidRPr="00C71ABB" w:rsidRDefault="00C71ABB" w:rsidP="00C71AB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71ABB">
        <w:rPr>
          <w:rFonts w:ascii="B Nazanin" w:eastAsia="Times New Roman" w:hAnsi="B Nazanin" w:cs="B Nazanin"/>
          <w:sz w:val="28"/>
          <w:szCs w:val="28"/>
          <w:rtl/>
        </w:rPr>
        <w:t>می‏دانیم که قدما برجهای دوازده‏گانه سال را دارای مزاج سرد و گرم و خشک و تر می‏دانستند و منطقة‏البروج را به برجهای آبی و خاکی و بادی و آتشی تقسیم می‏کردند و برای هریک خواصی قائل بودند</w:t>
      </w:r>
      <w:r w:rsidRPr="00C71ABB">
        <w:rPr>
          <w:rFonts w:ascii="B Nazanin" w:eastAsia="Times New Roman" w:hAnsi="B Nazanin" w:cs="B Nazanin"/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93"/>
        <w:gridCol w:w="3444"/>
      </w:tblGrid>
      <w:tr w:rsidR="00C71ABB" w:rsidRPr="00C71ABB" w:rsidTr="00C71A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ABB" w:rsidRPr="00C71ABB" w:rsidRDefault="00C71ABB" w:rsidP="00C71ABB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C71ABB">
              <w:rPr>
                <w:rFonts w:ascii="B Nazanin" w:eastAsia="Times New Roman" w:hAnsi="B Nazanin" w:cs="B Nazanin"/>
                <w:sz w:val="28"/>
                <w:szCs w:val="28"/>
                <w:rtl/>
              </w:rPr>
              <w:lastRenderedPageBreak/>
              <w:t xml:space="preserve">فلکهایی است روحانی، بجز افلاک کیوانی </w:t>
            </w:r>
          </w:p>
        </w:tc>
        <w:tc>
          <w:tcPr>
            <w:tcW w:w="0" w:type="auto"/>
            <w:vAlign w:val="center"/>
            <w:hideMark/>
          </w:tcPr>
          <w:p w:rsidR="00C71ABB" w:rsidRPr="00C71ABB" w:rsidRDefault="00C71ABB" w:rsidP="00C71ABB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C71ABB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کز آن‏جا نُزلها گردد در ابراج فلک مُنزل </w:t>
            </w:r>
          </w:p>
        </w:tc>
      </w:tr>
      <w:tr w:rsidR="00C71ABB" w:rsidRPr="00C71ABB" w:rsidTr="00C71A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ABB" w:rsidRPr="00C71ABB" w:rsidRDefault="00C71ABB" w:rsidP="00C71ABB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C71ABB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مددها برج خاکی را، عطاها برج آبی را </w:t>
            </w:r>
          </w:p>
        </w:tc>
        <w:tc>
          <w:tcPr>
            <w:tcW w:w="0" w:type="auto"/>
            <w:vAlign w:val="center"/>
            <w:hideMark/>
          </w:tcPr>
          <w:p w:rsidR="00C71ABB" w:rsidRPr="00C71ABB" w:rsidRDefault="00C71ABB" w:rsidP="00C71ABB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C71ABB">
              <w:rPr>
                <w:rFonts w:ascii="B Nazanin" w:eastAsia="Times New Roman" w:hAnsi="B Nazanin" w:cs="B Nazanin"/>
                <w:sz w:val="28"/>
                <w:szCs w:val="28"/>
                <w:rtl/>
              </w:rPr>
              <w:t>طبشها برج آتش را، ز وهّابی بود اکمل</w:t>
            </w:r>
            <w:r w:rsidRPr="00C71ABB">
              <w:rPr>
                <w:rFonts w:ascii="B Nazanin" w:eastAsia="Times New Roman" w:hAnsi="B Nazanin" w:cs="B Nazanin"/>
                <w:sz w:val="28"/>
                <w:szCs w:val="28"/>
                <w:vertAlign w:val="superscript"/>
              </w:rPr>
              <w:t>(3)</w:t>
            </w:r>
          </w:p>
        </w:tc>
      </w:tr>
    </w:tbl>
    <w:p w:rsidR="00C71ABB" w:rsidRPr="00C71ABB" w:rsidRDefault="00C71ABB" w:rsidP="00C71AB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71ABB">
        <w:rPr>
          <w:rFonts w:ascii="B Nazanin" w:eastAsia="Times New Roman" w:hAnsi="B Nazanin" w:cs="B Nazanin"/>
          <w:sz w:val="28"/>
          <w:szCs w:val="28"/>
          <w:rtl/>
        </w:rPr>
        <w:t>برجهای آبی که آنها را «مثلث آبی» نیز می‏نامند، عبارتند از سرطان و عقرب و حوت</w:t>
      </w:r>
      <w:r w:rsidRPr="00C71ABB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C71ABB">
        <w:rPr>
          <w:rFonts w:ascii="B Nazanin" w:eastAsia="Times New Roman" w:hAnsi="B Nazanin" w:cs="B Nazanin"/>
          <w:sz w:val="28"/>
          <w:szCs w:val="28"/>
          <w:rtl/>
        </w:rPr>
        <w:t>این سه برج مزاجی سرد و تر دارند، برخلاف حمل و اسد و قوس که دارای مزاجی گرم و خشک هستند</w:t>
      </w:r>
      <w:r w:rsidRPr="00C71ABB">
        <w:rPr>
          <w:rFonts w:ascii="B Nazanin" w:eastAsia="Times New Roman" w:hAnsi="B Nazanin" w:cs="B Nazanin"/>
          <w:sz w:val="28"/>
          <w:szCs w:val="28"/>
        </w:rPr>
        <w:t>.</w:t>
      </w:r>
    </w:p>
    <w:p w:rsidR="00C71ABB" w:rsidRPr="00C71ABB" w:rsidRDefault="00C71ABB" w:rsidP="00C71AB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71ABB">
        <w:rPr>
          <w:rFonts w:ascii="B Nazanin" w:eastAsia="Times New Roman" w:hAnsi="B Nazanin" w:cs="B Nazanin"/>
          <w:sz w:val="28"/>
          <w:szCs w:val="28"/>
          <w:rtl/>
        </w:rPr>
        <w:t>باری، در شرح بیت مذکور، ساده‏ترین راه این است که درج عبارت «برج آبی» را در مصرع دوم برای رعایت وزن و از اختیارات شاعر بدانیم. اما از سوی دیگر می‏دانیم که جامی در نجوم دستی داشته و در حل مسائل نجومی مورد اعتماد معاصران خود بوده است</w:t>
      </w:r>
      <w:r w:rsidRPr="00C71ABB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C71ABB">
        <w:rPr>
          <w:rFonts w:ascii="B Nazanin" w:eastAsia="Times New Roman" w:hAnsi="B Nazanin" w:cs="B Nazanin"/>
          <w:sz w:val="28"/>
          <w:szCs w:val="28"/>
          <w:rtl/>
        </w:rPr>
        <w:t>مدرس گیلانی در مقدمه‏ای که بر هفت اورنگ نوشته چنین آورده است</w:t>
      </w:r>
      <w:r w:rsidRPr="00C71ABB">
        <w:rPr>
          <w:rFonts w:ascii="B Nazanin" w:eastAsia="Times New Roman" w:hAnsi="B Nazanin" w:cs="B Nazanin"/>
          <w:sz w:val="28"/>
          <w:szCs w:val="28"/>
        </w:rPr>
        <w:t>:</w:t>
      </w:r>
    </w:p>
    <w:p w:rsidR="00C71ABB" w:rsidRPr="00C71ABB" w:rsidRDefault="00C71ABB" w:rsidP="00C71AB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71ABB">
        <w:rPr>
          <w:rFonts w:ascii="B Nazanin" w:eastAsia="Times New Roman" w:hAnsi="B Nazanin" w:cs="B Nazanin"/>
          <w:sz w:val="28"/>
          <w:szCs w:val="28"/>
          <w:rtl/>
        </w:rPr>
        <w:t>مولانا ابویوسف سمرقندی از شاگردان مقرر قاضی روم نقل کرده است که چون حضرت مولانا عبدالرحمن جامی به سمرقند آمدند، اتفاقا به شرح تذکره‏ای در فنّ هیأت اشتغال نمودند و تصرفات برچیده معدوده‏ای که قاضی بر حواشی آن کتاب ثبت کرده بود و سالها قرار یافته، هر روز در هر مجلس از آن سخن مقرر یک، دو سخن به مقام حک و اصلاح می‏رسید و قاضی به‏غایت از آن ممنون می‏شد و در آن اوقات شرح ملخّص چغمینی را که نتیجه افکار وی بود در میان آورد و ایشان در آن تصرفات می‏کردند که هرگز به خاطر قاضی نرسیده بود</w:t>
      </w:r>
      <w:r w:rsidRPr="00C71ABB">
        <w:rPr>
          <w:rFonts w:ascii="B Nazanin" w:eastAsia="Times New Roman" w:hAnsi="B Nazanin" w:cs="B Nazanin"/>
          <w:sz w:val="28"/>
          <w:szCs w:val="28"/>
        </w:rPr>
        <w:t>.</w:t>
      </w:r>
      <w:r w:rsidRPr="00C71ABB">
        <w:rPr>
          <w:rFonts w:ascii="B Nazanin" w:eastAsia="Times New Roman" w:hAnsi="B Nazanin" w:cs="B Nazanin"/>
          <w:sz w:val="28"/>
          <w:szCs w:val="28"/>
          <w:vertAlign w:val="superscript"/>
        </w:rPr>
        <w:t>(4)</w:t>
      </w:r>
    </w:p>
    <w:p w:rsidR="00C71ABB" w:rsidRPr="00C71ABB" w:rsidRDefault="00C71ABB" w:rsidP="00C71AB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71ABB">
        <w:rPr>
          <w:rFonts w:ascii="B Nazanin" w:eastAsia="Times New Roman" w:hAnsi="B Nazanin" w:cs="B Nazanin"/>
          <w:sz w:val="28"/>
          <w:szCs w:val="28"/>
          <w:rtl/>
        </w:rPr>
        <w:t>بنابراین، بعید می‏نماید که جامی عبارت «برج آبی» را فقط برای رعایت وزن شعر خود به کار برده باشد و بیشتر احتمال می‏رود که میان این عبارت و صحنه‏ای که وی درصدد توصیف آن است رابطه‏ای برقرار باشد</w:t>
      </w:r>
      <w:r w:rsidRPr="00C71ABB">
        <w:rPr>
          <w:rFonts w:ascii="B Nazanin" w:eastAsia="Times New Roman" w:hAnsi="B Nazanin" w:cs="B Nazanin"/>
          <w:sz w:val="28"/>
          <w:szCs w:val="28"/>
        </w:rPr>
        <w:t>.</w:t>
      </w:r>
    </w:p>
    <w:p w:rsidR="00C71ABB" w:rsidRPr="00C71ABB" w:rsidRDefault="00C71ABB" w:rsidP="00C71AB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71ABB">
        <w:rPr>
          <w:rFonts w:ascii="B Nazanin" w:eastAsia="Times New Roman" w:hAnsi="B Nazanin" w:cs="B Nazanin"/>
          <w:sz w:val="28"/>
          <w:szCs w:val="28"/>
          <w:rtl/>
        </w:rPr>
        <w:t xml:space="preserve">داستان مربوط است به هنگامی که مالکِ ذَعْر، کاروانسالارِ کاروانی که از مدین عازم مصر است، میان راه توقف می‏کند و «وارد»، یعنی آب‏کش و سقای کاروان، را سرِ چاهی که در آن نزدیکی است می‏فرستد تا برای کاروانیان آب بیاورد. «وارد» دلو را در چاه می‏اندازد، ولی هنگام بالا کشیدن، آن را سنگین‏تر از معمول می‏یابد. ناگزیر با یاریِ یکی دیگر از کاروانیان آن را بیرون می‏کشد، و، شگفت‏زده، می‏بیند که نوجوانی خوبروی خود را به </w:t>
      </w:r>
      <w:r w:rsidRPr="00C71ABB">
        <w:rPr>
          <w:rFonts w:ascii="B Nazanin" w:eastAsia="Times New Roman" w:hAnsi="B Nazanin" w:cs="B Nazanin"/>
          <w:sz w:val="28"/>
          <w:szCs w:val="28"/>
          <w:rtl/>
        </w:rPr>
        <w:lastRenderedPageBreak/>
        <w:t>طناب آویخته است. پس، فریاد برمی‏دارد: «یا بشری هذا غلام» (بشارت باد، این نوجوانی خوبروی است!» برادران یوسف که از ماجرا آگاه می‏شوند، خود را به کاروان می‏رسانند و ادعا می‏کنند که یوسف برده و مملوک آنان است و مالک باید بهای او را بپردازد. مالک هم او را به «ثمن بخس» و «دراهم معدودة</w:t>
      </w:r>
      <w:r w:rsidRPr="00C71ABB">
        <w:rPr>
          <w:rFonts w:ascii="B Nazanin" w:eastAsia="Times New Roman" w:hAnsi="B Nazanin" w:cs="B Nazanin"/>
          <w:sz w:val="28"/>
          <w:szCs w:val="28"/>
        </w:rPr>
        <w:t xml:space="preserve">» </w:t>
      </w:r>
      <w:r w:rsidRPr="00C71ABB">
        <w:rPr>
          <w:rFonts w:ascii="B Nazanin" w:eastAsia="Times New Roman" w:hAnsi="B Nazanin" w:cs="B Nazanin"/>
          <w:sz w:val="28"/>
          <w:szCs w:val="28"/>
          <w:rtl/>
        </w:rPr>
        <w:t>می‏خرد</w:t>
      </w:r>
      <w:r w:rsidRPr="00C71ABB">
        <w:rPr>
          <w:rFonts w:ascii="B Nazanin" w:eastAsia="Times New Roman" w:hAnsi="B Nazanin" w:cs="B Nazanin"/>
          <w:sz w:val="28"/>
          <w:szCs w:val="28"/>
        </w:rPr>
        <w:t>.</w:t>
      </w:r>
      <w:r w:rsidRPr="00C71ABB">
        <w:rPr>
          <w:rFonts w:ascii="B Nazanin" w:eastAsia="Times New Roman" w:hAnsi="B Nazanin" w:cs="B Nazanin"/>
          <w:sz w:val="28"/>
          <w:szCs w:val="28"/>
          <w:vertAlign w:val="superscript"/>
        </w:rPr>
        <w:t>(5)</w:t>
      </w:r>
    </w:p>
    <w:p w:rsidR="00C71ABB" w:rsidRPr="00C71ABB" w:rsidRDefault="00C71ABB" w:rsidP="00C71AB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71ABB">
        <w:rPr>
          <w:rFonts w:ascii="B Nazanin" w:eastAsia="Times New Roman" w:hAnsi="B Nazanin" w:cs="B Nazanin"/>
          <w:sz w:val="28"/>
          <w:szCs w:val="28"/>
          <w:rtl/>
        </w:rPr>
        <w:t>اینک کاروان به یک منزلی مصر رسیده و همه جا شایع شده است که مالک برده‏ای عبرانی و بسیار زیبا همراه آورده است. فرمانروای مصر، خزانه‏دار خود را، که «عزیز</w:t>
      </w:r>
      <w:r w:rsidRPr="00C71ABB">
        <w:rPr>
          <w:rFonts w:ascii="B Nazanin" w:eastAsia="Times New Roman" w:hAnsi="B Nazanin" w:cs="B Nazanin"/>
          <w:sz w:val="28"/>
          <w:szCs w:val="28"/>
        </w:rPr>
        <w:t xml:space="preserve">» </w:t>
      </w:r>
      <w:r w:rsidRPr="00C71ABB">
        <w:rPr>
          <w:rFonts w:ascii="B Nazanin" w:eastAsia="Times New Roman" w:hAnsi="B Nazanin" w:cs="B Nazanin"/>
          <w:sz w:val="28"/>
          <w:szCs w:val="28"/>
          <w:rtl/>
        </w:rPr>
        <w:t xml:space="preserve">نام دارد، مأمور می‏کند که به دیدار یوسف برود و اگر به راستی او را شایسته خدمت </w:t>
      </w:r>
    </w:p>
    <w:p w:rsidR="00C71ABB" w:rsidRPr="00C71ABB" w:rsidRDefault="00C71ABB" w:rsidP="00C71AB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71ABB">
        <w:rPr>
          <w:rFonts w:ascii="B Nazanin" w:eastAsia="Times New Roman" w:hAnsi="B Nazanin" w:cs="B Nazanin"/>
          <w:sz w:val="28"/>
          <w:szCs w:val="28"/>
          <w:rtl/>
        </w:rPr>
        <w:t>حاشیه</w:t>
      </w:r>
      <w:r w:rsidRPr="00C71ABB">
        <w:rPr>
          <w:rFonts w:ascii="B Nazanin" w:eastAsia="Times New Roman" w:hAnsi="B Nazanin" w:cs="B Nazanin"/>
          <w:sz w:val="28"/>
          <w:szCs w:val="28"/>
        </w:rPr>
        <w:t>:</w:t>
      </w:r>
    </w:p>
    <w:p w:rsidR="00C71ABB" w:rsidRPr="00C71ABB" w:rsidRDefault="00C71ABB" w:rsidP="00C71AB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71ABB">
        <w:rPr>
          <w:rFonts w:ascii="B Nazanin" w:eastAsia="Times New Roman" w:hAnsi="B Nazanin" w:cs="B Nazanin"/>
          <w:sz w:val="28"/>
          <w:szCs w:val="28"/>
        </w:rPr>
        <w:t xml:space="preserve">1) </w:t>
      </w:r>
      <w:r w:rsidRPr="00C71ABB">
        <w:rPr>
          <w:rFonts w:ascii="B Nazanin" w:eastAsia="Times New Roman" w:hAnsi="B Nazanin" w:cs="B Nazanin"/>
          <w:sz w:val="28"/>
          <w:szCs w:val="28"/>
          <w:rtl/>
        </w:rPr>
        <w:t>خانم کلر کاپلر</w:t>
      </w:r>
      <w:r w:rsidRPr="00C71ABB">
        <w:rPr>
          <w:rFonts w:ascii="B Nazanin" w:eastAsia="Times New Roman" w:hAnsi="B Nazanin" w:cs="B Nazanin"/>
          <w:sz w:val="28"/>
          <w:szCs w:val="28"/>
        </w:rPr>
        <w:t xml:space="preserve"> (Claire </w:t>
      </w:r>
      <w:proofErr w:type="spellStart"/>
      <w:r w:rsidRPr="00C71ABB">
        <w:rPr>
          <w:rFonts w:ascii="B Nazanin" w:eastAsia="Times New Roman" w:hAnsi="B Nazanin" w:cs="B Nazanin"/>
          <w:sz w:val="28"/>
          <w:szCs w:val="28"/>
        </w:rPr>
        <w:t>Kappler</w:t>
      </w:r>
      <w:proofErr w:type="spellEnd"/>
      <w:r w:rsidRPr="00C71ABB">
        <w:rPr>
          <w:rFonts w:ascii="B Nazanin" w:eastAsia="Times New Roman" w:hAnsi="B Nazanin" w:cs="B Nazanin"/>
          <w:sz w:val="28"/>
          <w:szCs w:val="28"/>
        </w:rPr>
        <w:t xml:space="preserve">) </w:t>
      </w:r>
      <w:r w:rsidRPr="00C71ABB">
        <w:rPr>
          <w:rFonts w:ascii="B Nazanin" w:eastAsia="Times New Roman" w:hAnsi="B Nazanin" w:cs="B Nazanin"/>
          <w:sz w:val="28"/>
          <w:szCs w:val="28"/>
          <w:rtl/>
        </w:rPr>
        <w:t>هم‏اکنون با سمت وابسته تحقیقاتی در مرکز تحقیقات علمی فرانسه</w:t>
      </w:r>
      <w:r w:rsidRPr="00C71ABB">
        <w:rPr>
          <w:rFonts w:ascii="B Nazanin" w:eastAsia="Times New Roman" w:hAnsi="B Nazanin" w:cs="B Nazanin"/>
          <w:sz w:val="28"/>
          <w:szCs w:val="28"/>
        </w:rPr>
        <w:t xml:space="preserve"> (CNRS) </w:t>
      </w:r>
      <w:r w:rsidRPr="00C71ABB">
        <w:rPr>
          <w:rFonts w:ascii="B Nazanin" w:eastAsia="Times New Roman" w:hAnsi="B Nazanin" w:cs="B Nazanin"/>
          <w:sz w:val="28"/>
          <w:szCs w:val="28"/>
          <w:rtl/>
        </w:rPr>
        <w:t>به کار اشتغال دارد. رشته‏های مورد علاقه ایشان ادبیات کلاسیک فارسی و ادبیات قرون وسطای اروپایی است</w:t>
      </w:r>
      <w:r w:rsidRPr="00C71ABB">
        <w:rPr>
          <w:rFonts w:ascii="B Nazanin" w:eastAsia="Times New Roman" w:hAnsi="B Nazanin" w:cs="B Nazanin"/>
          <w:sz w:val="28"/>
          <w:szCs w:val="28"/>
        </w:rPr>
        <w:t>.</w:t>
      </w:r>
    </w:p>
    <w:p w:rsidR="00C71ABB" w:rsidRPr="00C71ABB" w:rsidRDefault="00C71ABB" w:rsidP="00C71AB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71ABB">
        <w:rPr>
          <w:rFonts w:ascii="B Nazanin" w:eastAsia="Times New Roman" w:hAnsi="B Nazanin" w:cs="B Nazanin"/>
          <w:sz w:val="28"/>
          <w:szCs w:val="28"/>
        </w:rPr>
        <w:t xml:space="preserve">2) </w:t>
      </w:r>
      <w:proofErr w:type="spellStart"/>
      <w:r w:rsidRPr="00C71ABB">
        <w:rPr>
          <w:rFonts w:ascii="B Nazanin" w:eastAsia="Times New Roman" w:hAnsi="B Nazanin" w:cs="B Nazanin"/>
          <w:sz w:val="28"/>
          <w:szCs w:val="28"/>
        </w:rPr>
        <w:t>Auguste</w:t>
      </w:r>
      <w:proofErr w:type="spellEnd"/>
      <w:r w:rsidRPr="00C71ABB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C71ABB">
        <w:rPr>
          <w:rFonts w:ascii="B Nazanin" w:eastAsia="Times New Roman" w:hAnsi="B Nazanin" w:cs="B Nazanin"/>
          <w:sz w:val="28"/>
          <w:szCs w:val="28"/>
        </w:rPr>
        <w:t>Bricteux</w:t>
      </w:r>
      <w:proofErr w:type="spellEnd"/>
      <w:r w:rsidRPr="00C71ABB">
        <w:rPr>
          <w:rFonts w:ascii="B Nazanin" w:eastAsia="Times New Roman" w:hAnsi="B Nazanin" w:cs="B Nazanin"/>
          <w:sz w:val="28"/>
          <w:szCs w:val="28"/>
        </w:rPr>
        <w:t xml:space="preserve">, </w:t>
      </w:r>
      <w:proofErr w:type="spellStart"/>
      <w:r w:rsidRPr="00C71ABB">
        <w:rPr>
          <w:rFonts w:ascii="B Nazanin" w:eastAsia="Times New Roman" w:hAnsi="B Nazanin" w:cs="B Nazanin"/>
          <w:sz w:val="28"/>
          <w:szCs w:val="28"/>
        </w:rPr>
        <w:t>Youssouf</w:t>
      </w:r>
      <w:proofErr w:type="spellEnd"/>
      <w:r w:rsidRPr="00C71ABB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gramStart"/>
      <w:r w:rsidRPr="00C71ABB">
        <w:rPr>
          <w:rFonts w:ascii="B Nazanin" w:eastAsia="Times New Roman" w:hAnsi="B Nazanin" w:cs="B Nazanin"/>
          <w:sz w:val="28"/>
          <w:szCs w:val="28"/>
        </w:rPr>
        <w:t>et</w:t>
      </w:r>
      <w:proofErr w:type="gramEnd"/>
      <w:r w:rsidRPr="00C71ABB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C71ABB">
        <w:rPr>
          <w:rFonts w:ascii="B Nazanin" w:eastAsia="Times New Roman" w:hAnsi="B Nazanin" w:cs="B Nazanin"/>
          <w:sz w:val="28"/>
          <w:szCs w:val="28"/>
        </w:rPr>
        <w:t>Zouleikha</w:t>
      </w:r>
      <w:proofErr w:type="spellEnd"/>
      <w:r w:rsidRPr="00C71ABB">
        <w:rPr>
          <w:rFonts w:ascii="B Nazanin" w:eastAsia="Times New Roman" w:hAnsi="B Nazanin" w:cs="B Nazanin"/>
          <w:sz w:val="28"/>
          <w:szCs w:val="28"/>
        </w:rPr>
        <w:t xml:space="preserve">, </w:t>
      </w:r>
      <w:proofErr w:type="spellStart"/>
      <w:r w:rsidRPr="00C71ABB">
        <w:rPr>
          <w:rFonts w:ascii="B Nazanin" w:eastAsia="Times New Roman" w:hAnsi="B Nazanin" w:cs="B Nazanin"/>
          <w:sz w:val="28"/>
          <w:szCs w:val="28"/>
        </w:rPr>
        <w:t>traduit</w:t>
      </w:r>
      <w:proofErr w:type="spellEnd"/>
      <w:r w:rsidRPr="00C71ABB">
        <w:rPr>
          <w:rFonts w:ascii="B Nazanin" w:eastAsia="Times New Roman" w:hAnsi="B Nazanin" w:cs="B Nazanin"/>
          <w:sz w:val="28"/>
          <w:szCs w:val="28"/>
        </w:rPr>
        <w:t xml:space="preserve"> pour la première </w:t>
      </w:r>
      <w:proofErr w:type="spellStart"/>
      <w:r w:rsidRPr="00C71ABB">
        <w:rPr>
          <w:rFonts w:ascii="B Nazanin" w:eastAsia="Times New Roman" w:hAnsi="B Nazanin" w:cs="B Nazanin"/>
          <w:sz w:val="28"/>
          <w:szCs w:val="28"/>
        </w:rPr>
        <w:t>fois</w:t>
      </w:r>
      <w:proofErr w:type="spellEnd"/>
      <w:r w:rsidRPr="00C71ABB">
        <w:rPr>
          <w:rFonts w:ascii="B Nazanin" w:eastAsia="Times New Roman" w:hAnsi="B Nazanin" w:cs="B Nazanin"/>
          <w:sz w:val="28"/>
          <w:szCs w:val="28"/>
        </w:rPr>
        <w:t xml:space="preserve"> du </w:t>
      </w:r>
      <w:proofErr w:type="spellStart"/>
      <w:r w:rsidRPr="00C71ABB">
        <w:rPr>
          <w:rFonts w:ascii="B Nazanin" w:eastAsia="Times New Roman" w:hAnsi="B Nazanin" w:cs="B Nazanin"/>
          <w:sz w:val="28"/>
          <w:szCs w:val="28"/>
        </w:rPr>
        <w:t>persan</w:t>
      </w:r>
      <w:proofErr w:type="spellEnd"/>
      <w:r w:rsidRPr="00C71ABB">
        <w:rPr>
          <w:rFonts w:ascii="B Nazanin" w:eastAsia="Times New Roman" w:hAnsi="B Nazanin" w:cs="B Nazanin"/>
          <w:sz w:val="28"/>
          <w:szCs w:val="28"/>
        </w:rPr>
        <w:t xml:space="preserve"> en </w:t>
      </w:r>
      <w:proofErr w:type="spellStart"/>
      <w:r w:rsidRPr="00C71ABB">
        <w:rPr>
          <w:rFonts w:ascii="B Nazanin" w:eastAsia="Times New Roman" w:hAnsi="B Nazanin" w:cs="B Nazanin"/>
          <w:sz w:val="28"/>
          <w:szCs w:val="28"/>
        </w:rPr>
        <w:t>français</w:t>
      </w:r>
      <w:proofErr w:type="spellEnd"/>
      <w:r w:rsidRPr="00C71ABB">
        <w:rPr>
          <w:rFonts w:ascii="B Nazanin" w:eastAsia="Times New Roman" w:hAnsi="B Nazanin" w:cs="B Nazanin"/>
          <w:sz w:val="28"/>
          <w:szCs w:val="28"/>
        </w:rPr>
        <w:t xml:space="preserve"> par ..., Paris, 1927.</w:t>
      </w:r>
    </w:p>
    <w:p w:rsidR="00C71ABB" w:rsidRPr="00C71ABB" w:rsidRDefault="00C71ABB" w:rsidP="00C71AB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71ABB">
        <w:rPr>
          <w:rFonts w:ascii="B Nazanin" w:eastAsia="Times New Roman" w:hAnsi="B Nazanin" w:cs="B Nazanin"/>
          <w:sz w:val="28"/>
          <w:szCs w:val="28"/>
        </w:rPr>
        <w:t xml:space="preserve">3) </w:t>
      </w:r>
      <w:r w:rsidRPr="00C71ABB">
        <w:rPr>
          <w:rFonts w:ascii="B Nazanin" w:eastAsia="Times New Roman" w:hAnsi="B Nazanin" w:cs="B Nazanin"/>
          <w:sz w:val="28"/>
          <w:szCs w:val="28"/>
          <w:rtl/>
        </w:rPr>
        <w:t>دیوان شمس، تصحیح بدیع‏الزمان فروزانفر، جلد 7، صفحه 120</w:t>
      </w:r>
      <w:r w:rsidRPr="00C71ABB">
        <w:rPr>
          <w:rFonts w:ascii="B Nazanin" w:eastAsia="Times New Roman" w:hAnsi="B Nazanin" w:cs="B Nazanin"/>
          <w:sz w:val="28"/>
          <w:szCs w:val="28"/>
        </w:rPr>
        <w:t>.</w:t>
      </w:r>
    </w:p>
    <w:p w:rsidR="00C71ABB" w:rsidRPr="00C71ABB" w:rsidRDefault="00C71ABB" w:rsidP="00C71AB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71ABB">
        <w:rPr>
          <w:rFonts w:ascii="B Nazanin" w:eastAsia="Times New Roman" w:hAnsi="B Nazanin" w:cs="B Nazanin"/>
          <w:sz w:val="28"/>
          <w:szCs w:val="28"/>
        </w:rPr>
        <w:t xml:space="preserve">4) </w:t>
      </w:r>
      <w:r w:rsidRPr="00C71ABB">
        <w:rPr>
          <w:rFonts w:ascii="B Nazanin" w:eastAsia="Times New Roman" w:hAnsi="B Nazanin" w:cs="B Nazanin"/>
          <w:sz w:val="28"/>
          <w:szCs w:val="28"/>
          <w:rtl/>
        </w:rPr>
        <w:t>جامی، عبدالرحمان، مثنوی هفت‏اورنگ، تصحیح مرتضی مدرس گیلانی، تهران، انتشارات سعدی، 1338، مقدمه، صفحه «هفت</w:t>
      </w:r>
      <w:r w:rsidRPr="00C71ABB">
        <w:rPr>
          <w:rFonts w:ascii="B Nazanin" w:eastAsia="Times New Roman" w:hAnsi="B Nazanin" w:cs="B Nazanin"/>
          <w:sz w:val="28"/>
          <w:szCs w:val="28"/>
        </w:rPr>
        <w:t>».</w:t>
      </w:r>
    </w:p>
    <w:p w:rsidR="00C71ABB" w:rsidRPr="00C71ABB" w:rsidRDefault="00C71ABB" w:rsidP="00C71AB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71ABB">
        <w:rPr>
          <w:rFonts w:ascii="B Nazanin" w:eastAsia="Times New Roman" w:hAnsi="B Nazanin" w:cs="B Nazanin"/>
          <w:sz w:val="28"/>
          <w:szCs w:val="28"/>
        </w:rPr>
        <w:t xml:space="preserve">5) </w:t>
      </w:r>
      <w:r w:rsidRPr="00C71ABB">
        <w:rPr>
          <w:rFonts w:ascii="B Nazanin" w:eastAsia="Times New Roman" w:hAnsi="B Nazanin" w:cs="B Nazanin"/>
          <w:sz w:val="28"/>
          <w:szCs w:val="28"/>
          <w:rtl/>
        </w:rPr>
        <w:t>قرآن مجید، سوره یوسف، آیه‏های 19 و 20</w:t>
      </w:r>
      <w:r w:rsidRPr="00C71ABB">
        <w:rPr>
          <w:rFonts w:ascii="B Nazanin" w:eastAsia="Times New Roman" w:hAnsi="B Nazanin" w:cs="B Nazanin"/>
          <w:sz w:val="28"/>
          <w:szCs w:val="28"/>
        </w:rPr>
        <w:t>.</w:t>
      </w:r>
    </w:p>
    <w:p w:rsidR="00C71ABB" w:rsidRPr="00C71ABB" w:rsidRDefault="00C71ABB" w:rsidP="00C71AB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71ABB">
        <w:rPr>
          <w:rFonts w:ascii="B Nazanin" w:eastAsia="Times New Roman" w:hAnsi="B Nazanin" w:cs="B Nazanin"/>
          <w:sz w:val="28"/>
          <w:szCs w:val="28"/>
          <w:rtl/>
        </w:rPr>
        <w:lastRenderedPageBreak/>
        <w:t>در دربار می‏یابد برای خریدنش اقدام کند. ولی عزیز به دیدن یوسف چنان قرار از کف می‏دهد که در برابرش به سجده می‏افتد. سپس از مالک می‏خواهد که بی‏درنگ وی را به دربار، نزد شاه، ببرد. مالک می‏گوید که چون یوسف تازه از راه رسیده و تنش به گرد و خاک آغشته است، بهتر است که نخست استراحت کند و بعد خود را شست‏وشو دهد و جامه‏های لطیف و عطرآگین بپوشد و آن‏گاه روانه دربار گردد. از این پس جامی به توصیف صحنه‏ای می‏پردازد که بی‏شباهت به صحنه شیرین در چشمه نظامی نیست</w:t>
      </w:r>
      <w:r w:rsidRPr="00C71ABB">
        <w:rPr>
          <w:rFonts w:ascii="B Nazanin" w:eastAsia="Times New Roman" w:hAnsi="B Nazanin" w:cs="B Nazanin"/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3"/>
        <w:gridCol w:w="3016"/>
      </w:tblGrid>
      <w:tr w:rsidR="00C71ABB" w:rsidRPr="00C71ABB" w:rsidTr="00C71A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ABB" w:rsidRPr="00C71ABB" w:rsidRDefault="00C71ABB" w:rsidP="00C71ABB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C71ABB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به یوسف گفت مالک کای دلارای </w:t>
            </w:r>
          </w:p>
        </w:tc>
        <w:tc>
          <w:tcPr>
            <w:tcW w:w="0" w:type="auto"/>
            <w:vAlign w:val="center"/>
            <w:hideMark/>
          </w:tcPr>
          <w:p w:rsidR="00C71ABB" w:rsidRPr="00C71ABB" w:rsidRDefault="00C71ABB" w:rsidP="00C71ABB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C71ABB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تو هم چون خور کنار نیل کن جای </w:t>
            </w:r>
          </w:p>
        </w:tc>
      </w:tr>
      <w:tr w:rsidR="00C71ABB" w:rsidRPr="00C71ABB" w:rsidTr="00C71A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ABB" w:rsidRPr="00C71ABB" w:rsidRDefault="00C71ABB" w:rsidP="00C71ABB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C71ABB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ز خود کن گرد ره را شست‏وشویی </w:t>
            </w:r>
          </w:p>
        </w:tc>
        <w:tc>
          <w:tcPr>
            <w:tcW w:w="0" w:type="auto"/>
            <w:vAlign w:val="center"/>
            <w:hideMark/>
          </w:tcPr>
          <w:p w:rsidR="00C71ABB" w:rsidRPr="00C71ABB" w:rsidRDefault="00C71ABB" w:rsidP="00C71ABB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C71ABB">
              <w:rPr>
                <w:rFonts w:ascii="B Nazanin" w:eastAsia="Times New Roman" w:hAnsi="B Nazanin" w:cs="B Nazanin"/>
                <w:sz w:val="28"/>
                <w:szCs w:val="28"/>
                <w:rtl/>
              </w:rPr>
              <w:t>ز خاکت نیل را ده آبرویی</w:t>
            </w:r>
            <w:r w:rsidRPr="00C71ABB">
              <w:rPr>
                <w:rFonts w:ascii="B Nazanin" w:eastAsia="Times New Roman" w:hAnsi="B Nazanin" w:cs="B Nazanin"/>
                <w:sz w:val="28"/>
                <w:szCs w:val="28"/>
                <w:vertAlign w:val="superscript"/>
              </w:rPr>
              <w:t>(6)</w:t>
            </w:r>
          </w:p>
        </w:tc>
      </w:tr>
    </w:tbl>
    <w:p w:rsidR="00C71ABB" w:rsidRPr="00C71ABB" w:rsidRDefault="00C71ABB" w:rsidP="00C71AB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71ABB">
        <w:rPr>
          <w:rFonts w:ascii="B Nazanin" w:eastAsia="Times New Roman" w:hAnsi="B Nazanin" w:cs="B Nazanin"/>
          <w:sz w:val="28"/>
          <w:szCs w:val="28"/>
          <w:rtl/>
        </w:rPr>
        <w:t xml:space="preserve">بامداد چهارمین روز ورود مالک به سرزمین مصر است و یوسف سه روز استراحت کرده و صبح زود از خواب برخاسته است تا خود را در نیل بشوید. توصیف این صحنه، با توجه با این‏که شاعر باید هم جانب عفاف را نگاه دارد و هم عریان شدن و آب‏تنی یوسف را به تصویر کشد، مستلزم مهارت بسیار است و جامی به خوبی از عهده این کار برآمده است، البته همه جا با توسّل به کنایه و اشاره و استفاده از تشبیه و استعاره. یوسف نخست </w:t>
      </w:r>
      <w:r w:rsidRPr="00C71ABB">
        <w:rPr>
          <w:rFonts w:ascii="B Nazanin" w:eastAsia="Times New Roman" w:hAnsi="B Nazanin" w:cs="B Nazanin"/>
          <w:sz w:val="28"/>
          <w:szCs w:val="28"/>
        </w:rPr>
        <w:t>«</w:t>
      </w:r>
      <w:r w:rsidRPr="00C71ABB">
        <w:rPr>
          <w:rFonts w:ascii="B Nazanin" w:eastAsia="Times New Roman" w:hAnsi="B Nazanin" w:cs="B Nazanin"/>
          <w:sz w:val="28"/>
          <w:szCs w:val="28"/>
          <w:rtl/>
        </w:rPr>
        <w:t>پرده‏ای نیلوفری» به دور کمر می‏پیچد و سپس دست زیر پیراهن برده بند ازار را می‏گشاید</w:t>
      </w:r>
      <w:r w:rsidRPr="00C71ABB">
        <w:rPr>
          <w:rFonts w:ascii="B Nazanin" w:eastAsia="Times New Roman" w:hAnsi="B Nazanin" w:cs="B Nazanin"/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8"/>
        <w:gridCol w:w="2354"/>
      </w:tblGrid>
      <w:tr w:rsidR="00C71ABB" w:rsidRPr="00C71ABB" w:rsidTr="00C71A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ABB" w:rsidRPr="00C71ABB" w:rsidRDefault="00C71ABB" w:rsidP="00C71ABB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C71ABB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به زیر پیرهن برد از برون دست </w:t>
            </w:r>
          </w:p>
        </w:tc>
        <w:tc>
          <w:tcPr>
            <w:tcW w:w="0" w:type="auto"/>
            <w:vAlign w:val="center"/>
            <w:hideMark/>
          </w:tcPr>
          <w:p w:rsidR="00C71ABB" w:rsidRPr="00C71ABB" w:rsidRDefault="00C71ABB" w:rsidP="00C71ABB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C71ABB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سمن را پرده نیلوفری بست </w:t>
            </w:r>
          </w:p>
        </w:tc>
      </w:tr>
    </w:tbl>
    <w:p w:rsidR="00C71ABB" w:rsidRPr="00C71ABB" w:rsidRDefault="00C71ABB" w:rsidP="00C71AB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71ABB">
        <w:rPr>
          <w:rFonts w:ascii="B Nazanin" w:eastAsia="Times New Roman" w:hAnsi="B Nazanin" w:cs="B Nazanin"/>
          <w:sz w:val="28"/>
          <w:szCs w:val="28"/>
          <w:rtl/>
        </w:rPr>
        <w:t>ولی باید کلاه را نیز بردارد</w:t>
      </w:r>
      <w:r w:rsidRPr="00C71ABB">
        <w:rPr>
          <w:rFonts w:ascii="B Nazanin" w:eastAsia="Times New Roman" w:hAnsi="B Nazanin" w:cs="B Nazanin"/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6"/>
        <w:gridCol w:w="2596"/>
      </w:tblGrid>
      <w:tr w:rsidR="00C71ABB" w:rsidRPr="00C71ABB" w:rsidTr="00C71A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ABB" w:rsidRPr="00C71ABB" w:rsidRDefault="00C71ABB" w:rsidP="00C71ABB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C71ABB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کلاه زرفشان از فرق بنهاد </w:t>
            </w:r>
          </w:p>
        </w:tc>
        <w:tc>
          <w:tcPr>
            <w:tcW w:w="0" w:type="auto"/>
            <w:vAlign w:val="center"/>
            <w:hideMark/>
          </w:tcPr>
          <w:p w:rsidR="00C71ABB" w:rsidRPr="00C71ABB" w:rsidRDefault="00C71ABB" w:rsidP="00C71ABB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C71ABB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ز زرّین بیضه خود زاغِ شب زاد </w:t>
            </w:r>
          </w:p>
        </w:tc>
      </w:tr>
    </w:tbl>
    <w:p w:rsidR="00C71ABB" w:rsidRPr="00C71ABB" w:rsidRDefault="00C71ABB" w:rsidP="00C71AB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71ABB">
        <w:rPr>
          <w:rFonts w:ascii="B Nazanin" w:eastAsia="Times New Roman" w:hAnsi="B Nazanin" w:cs="B Nazanin"/>
          <w:sz w:val="28"/>
          <w:szCs w:val="28"/>
          <w:rtl/>
        </w:rPr>
        <w:t>دو تعبیر «کلاه زرفشان» و «زرّین بیضه» برای جامی این امکان را فراهم می‏آورد که گیسوان سیاه یوسف را در تضاد با بر و رویِ سفید او قرار دهد و بر زیبایی صحنه بیفزاید، چندان‏که</w:t>
      </w:r>
      <w:r w:rsidRPr="00C71ABB">
        <w:rPr>
          <w:rFonts w:ascii="B Nazanin" w:eastAsia="Times New Roman" w:hAnsi="B Nazanin" w:cs="B Nazanin"/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5"/>
        <w:gridCol w:w="2831"/>
      </w:tblGrid>
      <w:tr w:rsidR="00C71ABB" w:rsidRPr="00C71ABB" w:rsidTr="00C71A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ABB" w:rsidRPr="00C71ABB" w:rsidRDefault="00C71ABB" w:rsidP="00C71ABB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C71ABB">
              <w:rPr>
                <w:rFonts w:ascii="B Nazanin" w:eastAsia="Times New Roman" w:hAnsi="B Nazanin" w:cs="B Nazanin"/>
                <w:sz w:val="28"/>
                <w:szCs w:val="28"/>
                <w:rtl/>
              </w:rPr>
              <w:lastRenderedPageBreak/>
              <w:t xml:space="preserve">ز چرخ نیلگون برخاست فریاد </w:t>
            </w:r>
          </w:p>
        </w:tc>
        <w:tc>
          <w:tcPr>
            <w:tcW w:w="0" w:type="auto"/>
            <w:vAlign w:val="center"/>
            <w:hideMark/>
          </w:tcPr>
          <w:p w:rsidR="00C71ABB" w:rsidRPr="00C71ABB" w:rsidRDefault="00C71ABB" w:rsidP="00C71ABB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C71ABB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که شد نیل از قدوم آن مه آباد </w:t>
            </w:r>
          </w:p>
        </w:tc>
      </w:tr>
      <w:tr w:rsidR="00C71ABB" w:rsidRPr="00C71ABB" w:rsidTr="00C71A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ABB" w:rsidRPr="00C71ABB" w:rsidRDefault="00C71ABB" w:rsidP="00C71ABB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C71ABB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نمود آن دوش و بر از عطف دامن </w:t>
            </w:r>
          </w:p>
        </w:tc>
        <w:tc>
          <w:tcPr>
            <w:tcW w:w="0" w:type="auto"/>
            <w:vAlign w:val="center"/>
            <w:hideMark/>
          </w:tcPr>
          <w:p w:rsidR="00C71ABB" w:rsidRPr="00C71ABB" w:rsidRDefault="00C71ABB" w:rsidP="00C71ABB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C71ABB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چنان کز دور گردون صبح روشن </w:t>
            </w:r>
          </w:p>
        </w:tc>
      </w:tr>
      <w:tr w:rsidR="00C71ABB" w:rsidRPr="00C71ABB" w:rsidTr="00C71A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ABB" w:rsidRPr="00C71ABB" w:rsidRDefault="00C71ABB" w:rsidP="00C71ABB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C71ABB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به جای نیل من بودی چه بودی </w:t>
            </w:r>
          </w:p>
        </w:tc>
        <w:tc>
          <w:tcPr>
            <w:tcW w:w="0" w:type="auto"/>
            <w:vAlign w:val="center"/>
            <w:hideMark/>
          </w:tcPr>
          <w:p w:rsidR="00C71ABB" w:rsidRPr="00C71ABB" w:rsidRDefault="00C71ABB" w:rsidP="00C71ABB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C71ABB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ز پابوسش من آسودی چه بودی </w:t>
            </w:r>
          </w:p>
        </w:tc>
      </w:tr>
      <w:tr w:rsidR="00C71ABB" w:rsidRPr="00C71ABB" w:rsidTr="00C71A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ABB" w:rsidRPr="00C71ABB" w:rsidRDefault="00C71ABB" w:rsidP="00C71ABB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C71ABB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بر آن شد خور که خود را افکند پیش </w:t>
            </w:r>
          </w:p>
        </w:tc>
        <w:tc>
          <w:tcPr>
            <w:tcW w:w="0" w:type="auto"/>
            <w:vAlign w:val="center"/>
            <w:hideMark/>
          </w:tcPr>
          <w:p w:rsidR="00C71ABB" w:rsidRPr="00C71ABB" w:rsidRDefault="00C71ABB" w:rsidP="00C71ABB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C71ABB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به رود نیل ریزد چشمه خویش </w:t>
            </w:r>
          </w:p>
        </w:tc>
      </w:tr>
      <w:tr w:rsidR="00C71ABB" w:rsidRPr="00C71ABB" w:rsidTr="00C71A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ABB" w:rsidRPr="00C71ABB" w:rsidRDefault="00C71ABB" w:rsidP="00C71ABB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C71ABB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نبیند چشمه خود چون سزایش </w:t>
            </w:r>
          </w:p>
        </w:tc>
        <w:tc>
          <w:tcPr>
            <w:tcW w:w="0" w:type="auto"/>
            <w:vAlign w:val="center"/>
            <w:hideMark/>
          </w:tcPr>
          <w:p w:rsidR="00C71ABB" w:rsidRPr="00C71ABB" w:rsidRDefault="00C71ABB" w:rsidP="00C71ABB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C71ABB">
              <w:rPr>
                <w:rFonts w:ascii="B Nazanin" w:eastAsia="Times New Roman" w:hAnsi="B Nazanin" w:cs="B Nazanin"/>
                <w:sz w:val="28"/>
                <w:szCs w:val="28"/>
                <w:rtl/>
              </w:rPr>
              <w:t>طفیل نیل شوید دست و پایش</w:t>
            </w:r>
            <w:r w:rsidRPr="00C71ABB">
              <w:rPr>
                <w:rFonts w:ascii="B Nazanin" w:eastAsia="Times New Roman" w:hAnsi="B Nazanin" w:cs="B Nazanin"/>
                <w:sz w:val="28"/>
                <w:szCs w:val="28"/>
                <w:vertAlign w:val="superscript"/>
              </w:rPr>
              <w:t>(7)</w:t>
            </w:r>
          </w:p>
        </w:tc>
      </w:tr>
    </w:tbl>
    <w:p w:rsidR="00C71ABB" w:rsidRPr="00C71ABB" w:rsidRDefault="00C71ABB" w:rsidP="00C71AB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71ABB">
        <w:rPr>
          <w:rFonts w:ascii="B Nazanin" w:eastAsia="Times New Roman" w:hAnsi="B Nazanin" w:cs="B Nazanin"/>
          <w:sz w:val="28"/>
          <w:szCs w:val="28"/>
          <w:rtl/>
        </w:rPr>
        <w:t>در اینجاست که یوسف پا در نیل می‏نهد، همچون ماه که در «برج آبی» جای گیرد. این تشبیه قاعدتا باید دنباله توصیفهای پیشین باشد، وگرنه حشوی بیش نخواهد بود</w:t>
      </w:r>
      <w:r w:rsidRPr="00C71ABB">
        <w:rPr>
          <w:rFonts w:ascii="B Nazanin" w:eastAsia="Times New Roman" w:hAnsi="B Nazanin" w:cs="B Nazanin"/>
          <w:sz w:val="28"/>
          <w:szCs w:val="28"/>
        </w:rPr>
        <w:t>.</w:t>
      </w:r>
    </w:p>
    <w:p w:rsidR="00C71ABB" w:rsidRPr="00C71ABB" w:rsidRDefault="00C71ABB" w:rsidP="00C71AB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71ABB">
        <w:rPr>
          <w:rFonts w:ascii="B Nazanin" w:eastAsia="Times New Roman" w:hAnsi="B Nazanin" w:cs="B Nazanin"/>
          <w:sz w:val="28"/>
          <w:szCs w:val="28"/>
          <w:rtl/>
        </w:rPr>
        <w:t>اما برجهای آبی سه‏گانه، حوت و سرطان و عقرب، به ترتیب برابرند با اسفند و تیر و آبان؛ اولی در آخر زمستان و دومی اوّل تابستان و سومی وسط پاییز. می‏توان اواخر زمستان و اواسط پاییز را دارای خصوصیات جوّی مشترک دانست. ولی ماه تیر گرم و کم‏باران است. اگر بخواهیم برج آبی را در بیت مذکور اشاره‏ای به ماههای آبان و اسفند (عقرب و حوت) فرض کنیم، رابطه میان اجزاء مصرع دوم بیت (چو مه در برج آبی ساخت منزل) ضعیف خواهد شد. زیرا آسمان در شبهای زمستانی و پاییزی کم و بیش پوشیده از ابر است و در این شبها ماه جلوه‏ای چندان ندارد. این تشبیهی است که نظامی ـ البته بسیار هم بجا و زیبا ـ به کار برده است</w:t>
      </w:r>
      <w:r w:rsidRPr="00C71ABB">
        <w:rPr>
          <w:rFonts w:ascii="B Nazanin" w:eastAsia="Times New Roman" w:hAnsi="B Nazanin" w:cs="B Nazanin"/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9"/>
        <w:gridCol w:w="2875"/>
      </w:tblGrid>
      <w:tr w:rsidR="00C71ABB" w:rsidRPr="00C71ABB" w:rsidTr="00C71A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ABB" w:rsidRPr="00C71ABB" w:rsidRDefault="00C71ABB" w:rsidP="00C71ABB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C71ABB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فشاند از دیده باران سحابی </w:t>
            </w:r>
          </w:p>
        </w:tc>
        <w:tc>
          <w:tcPr>
            <w:tcW w:w="0" w:type="auto"/>
            <w:vAlign w:val="center"/>
            <w:hideMark/>
          </w:tcPr>
          <w:p w:rsidR="00C71ABB" w:rsidRPr="00C71ABB" w:rsidRDefault="00C71ABB" w:rsidP="00C71ABB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C71ABB">
              <w:rPr>
                <w:rFonts w:ascii="B Nazanin" w:eastAsia="Times New Roman" w:hAnsi="B Nazanin" w:cs="B Nazanin"/>
                <w:sz w:val="28"/>
                <w:szCs w:val="28"/>
                <w:rtl/>
              </w:rPr>
              <w:t>که طالع شد قمر در «برج آبی</w:t>
            </w:r>
            <w:r w:rsidRPr="00C71ABB">
              <w:rPr>
                <w:rFonts w:ascii="B Nazanin" w:eastAsia="Times New Roman" w:hAnsi="B Nazanin" w:cs="B Nazanin"/>
                <w:sz w:val="28"/>
                <w:szCs w:val="28"/>
              </w:rPr>
              <w:t>»</w:t>
            </w:r>
            <w:r w:rsidRPr="00C71ABB">
              <w:rPr>
                <w:rFonts w:ascii="B Nazanin" w:eastAsia="Times New Roman" w:hAnsi="B Nazanin" w:cs="B Nazanin"/>
                <w:sz w:val="28"/>
                <w:szCs w:val="28"/>
                <w:vertAlign w:val="superscript"/>
              </w:rPr>
              <w:t>(8)</w:t>
            </w:r>
          </w:p>
        </w:tc>
      </w:tr>
    </w:tbl>
    <w:p w:rsidR="00C71ABB" w:rsidRPr="00C71ABB" w:rsidRDefault="00C71ABB" w:rsidP="00C71AB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71ABB">
        <w:rPr>
          <w:rFonts w:ascii="B Nazanin" w:eastAsia="Times New Roman" w:hAnsi="B Nazanin" w:cs="B Nazanin"/>
          <w:sz w:val="28"/>
          <w:szCs w:val="28"/>
          <w:rtl/>
        </w:rPr>
        <w:t>برعکس، ماه در برج سرطان که آن را «خانه قمر» نیز می‏نامند،</w:t>
      </w:r>
      <w:r w:rsidRPr="00C71ABB">
        <w:rPr>
          <w:rFonts w:ascii="B Nazanin" w:eastAsia="Times New Roman" w:hAnsi="B Nazanin" w:cs="B Nazanin"/>
          <w:sz w:val="28"/>
          <w:szCs w:val="28"/>
          <w:vertAlign w:val="superscript"/>
        </w:rPr>
        <w:t>(9)</w:t>
      </w:r>
      <w:r w:rsidRPr="00C71ABB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C71ABB">
        <w:rPr>
          <w:rFonts w:ascii="B Nazanin" w:eastAsia="Times New Roman" w:hAnsi="B Nazanin" w:cs="B Nazanin"/>
          <w:sz w:val="28"/>
          <w:szCs w:val="28"/>
          <w:rtl/>
        </w:rPr>
        <w:t xml:space="preserve">در کمال درخشندگی و جلوه‏گری است. به دلایل متعدد: نخست آن‏که فاصله آن تا زمین که بین </w:t>
      </w:r>
      <w:r w:rsidRPr="00C71ABB">
        <w:rPr>
          <w:rFonts w:ascii="B Nazanin" w:eastAsia="Times New Roman" w:hAnsi="B Nazanin" w:cs="B Nazanin"/>
          <w:sz w:val="28"/>
          <w:szCs w:val="28"/>
        </w:rPr>
        <w:t xml:space="preserve">421690 </w:t>
      </w:r>
      <w:r w:rsidRPr="00C71ABB">
        <w:rPr>
          <w:rFonts w:ascii="B Nazanin" w:eastAsia="Times New Roman" w:hAnsi="B Nazanin" w:cs="B Nazanin"/>
          <w:sz w:val="28"/>
          <w:szCs w:val="28"/>
          <w:rtl/>
        </w:rPr>
        <w:t>و 353680 کیلومتر در نوسان است، در اوایل تابستان به حداقل می‏رسد، یعنی ماه در این فصل تقریبا 70000 کیلومتر به زمین نزدیکتر است. در نتیجه قطر قرص آن در حدود دو درجه بزرگتر و جلوه آن به همان اندازه بیشتر می‏شود</w:t>
      </w:r>
      <w:r w:rsidRPr="00C71ABB">
        <w:rPr>
          <w:rFonts w:ascii="B Nazanin" w:eastAsia="Times New Roman" w:hAnsi="B Nazanin" w:cs="B Nazanin"/>
          <w:sz w:val="28"/>
          <w:szCs w:val="28"/>
        </w:rPr>
        <w:t>.</w:t>
      </w:r>
      <w:r w:rsidRPr="00C71ABB">
        <w:rPr>
          <w:rFonts w:ascii="B Nazanin" w:eastAsia="Times New Roman" w:hAnsi="B Nazanin" w:cs="B Nazanin"/>
          <w:sz w:val="28"/>
          <w:szCs w:val="28"/>
          <w:vertAlign w:val="superscript"/>
        </w:rPr>
        <w:t>(10)</w:t>
      </w:r>
      <w:r w:rsidRPr="00C71ABB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C71ABB">
        <w:rPr>
          <w:rFonts w:ascii="B Nazanin" w:eastAsia="Times New Roman" w:hAnsi="B Nazanin" w:cs="B Nazanin"/>
          <w:sz w:val="28"/>
          <w:szCs w:val="28"/>
          <w:rtl/>
        </w:rPr>
        <w:t xml:space="preserve">این وضعیت در جام و هرات که </w:t>
      </w:r>
      <w:r w:rsidRPr="00C71ABB">
        <w:rPr>
          <w:rFonts w:ascii="B Nazanin" w:eastAsia="Times New Roman" w:hAnsi="B Nazanin" w:cs="B Nazanin"/>
          <w:sz w:val="28"/>
          <w:szCs w:val="28"/>
          <w:rtl/>
        </w:rPr>
        <w:lastRenderedPageBreak/>
        <w:t xml:space="preserve">جامی بیشتر عمر خود را در آن نواحی گذرانده است، مصداق بارزتری می‏یابد. از سوی دیگر آسمان معمولاً در تابستان صافتر و پاکتر از فصول دیگر سال است. البته امروزه که دود و دمه همه جا را پوشانده و ساختمانهای بلند و روشنیِ چراغهای برق، ستارگان را از نظرها محو کرده است، ماه در هیچ فصلی جلوه‏گری پیشین را ندارد. ولی باید توصیف جامی را در ظرف زمانی و مکانی خود قرار داد. نگارنده در سال </w:t>
      </w:r>
      <w:r w:rsidRPr="00C71ABB">
        <w:rPr>
          <w:rFonts w:ascii="B Nazanin" w:eastAsia="Times New Roman" w:hAnsi="B Nazanin" w:cs="B Nazanin"/>
          <w:sz w:val="28"/>
          <w:szCs w:val="28"/>
        </w:rPr>
        <w:t>1342</w:t>
      </w:r>
      <w:r w:rsidRPr="00C71ABB">
        <w:rPr>
          <w:rFonts w:ascii="B Nazanin" w:eastAsia="Times New Roman" w:hAnsi="B Nazanin" w:cs="B Nazanin"/>
          <w:sz w:val="28"/>
          <w:szCs w:val="28"/>
          <w:rtl/>
        </w:rPr>
        <w:t>، همراه گروهی از همکاران و دانشجویان دانشگاه مشهد، چند شبی را در هرات گذراند. هنگام بدرِ تمام، آسمان چنان زیبا بود که همه بر سرِ شوق آمدیم و وسیله‏ای فراهم کردیم و از شهر بیرون رفتیم و ساعتی را به تماشای ماه نشستیم</w:t>
      </w:r>
      <w:r w:rsidRPr="00C71ABB">
        <w:rPr>
          <w:rFonts w:ascii="B Nazanin" w:eastAsia="Times New Roman" w:hAnsi="B Nazanin" w:cs="B Nazanin"/>
          <w:sz w:val="28"/>
          <w:szCs w:val="28"/>
        </w:rPr>
        <w:t>.</w:t>
      </w:r>
    </w:p>
    <w:p w:rsidR="00C71ABB" w:rsidRPr="00C71ABB" w:rsidRDefault="00C71ABB" w:rsidP="00C71AB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71ABB">
        <w:rPr>
          <w:rFonts w:ascii="B Nazanin" w:eastAsia="Times New Roman" w:hAnsi="B Nazanin" w:cs="B Nazanin"/>
          <w:sz w:val="28"/>
          <w:szCs w:val="28"/>
          <w:rtl/>
        </w:rPr>
        <w:t>با توجه به همه این نکات، «برج آبی» در شعر جامی همان برج سرطان، یعنی تیر ماه است. آن‏گاه «دریای نیل» همچون یک شب صاف و پاک تابستان خواهد بود و یوسفْ بدری تمام که در صفحه چنین آسمانی می‏درخشد. و این تشبیهی بسیار زیباست</w:t>
      </w:r>
      <w:r w:rsidRPr="00C71ABB">
        <w:rPr>
          <w:rFonts w:ascii="B Nazanin" w:eastAsia="Times New Roman" w:hAnsi="B Nazanin" w:cs="B Nazanin"/>
          <w:sz w:val="28"/>
          <w:szCs w:val="28"/>
        </w:rPr>
        <w:t>.</w:t>
      </w:r>
    </w:p>
    <w:p w:rsidR="00C71ABB" w:rsidRPr="00C71ABB" w:rsidRDefault="00C71ABB" w:rsidP="00C71AB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71ABB">
        <w:rPr>
          <w:rFonts w:ascii="B Nazanin" w:eastAsia="Times New Roman" w:hAnsi="B Nazanin" w:cs="B Nazanin"/>
          <w:sz w:val="28"/>
          <w:szCs w:val="28"/>
          <w:rtl/>
        </w:rPr>
        <w:t>حاشیه</w:t>
      </w:r>
      <w:r w:rsidRPr="00C71ABB">
        <w:rPr>
          <w:rFonts w:ascii="B Nazanin" w:eastAsia="Times New Roman" w:hAnsi="B Nazanin" w:cs="B Nazanin"/>
          <w:sz w:val="28"/>
          <w:szCs w:val="28"/>
        </w:rPr>
        <w:t>:</w:t>
      </w:r>
    </w:p>
    <w:p w:rsidR="00C71ABB" w:rsidRPr="00C71ABB" w:rsidRDefault="00C71ABB" w:rsidP="00C71AB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71ABB">
        <w:rPr>
          <w:rFonts w:ascii="B Nazanin" w:eastAsia="Times New Roman" w:hAnsi="B Nazanin" w:cs="B Nazanin"/>
          <w:sz w:val="28"/>
          <w:szCs w:val="28"/>
        </w:rPr>
        <w:t xml:space="preserve">6) </w:t>
      </w:r>
      <w:r w:rsidRPr="00C71ABB">
        <w:rPr>
          <w:rFonts w:ascii="B Nazanin" w:eastAsia="Times New Roman" w:hAnsi="B Nazanin" w:cs="B Nazanin"/>
          <w:sz w:val="28"/>
          <w:szCs w:val="28"/>
          <w:rtl/>
        </w:rPr>
        <w:t>جامی، همان، ص 645</w:t>
      </w:r>
      <w:r w:rsidRPr="00C71ABB">
        <w:rPr>
          <w:rFonts w:ascii="B Nazanin" w:eastAsia="Times New Roman" w:hAnsi="B Nazanin" w:cs="B Nazanin"/>
          <w:sz w:val="28"/>
          <w:szCs w:val="28"/>
        </w:rPr>
        <w:t>.</w:t>
      </w:r>
    </w:p>
    <w:p w:rsidR="00C71ABB" w:rsidRPr="00C71ABB" w:rsidRDefault="00C71ABB" w:rsidP="00C71AB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71ABB">
        <w:rPr>
          <w:rFonts w:ascii="B Nazanin" w:eastAsia="Times New Roman" w:hAnsi="B Nazanin" w:cs="B Nazanin"/>
          <w:sz w:val="28"/>
          <w:szCs w:val="28"/>
        </w:rPr>
        <w:t xml:space="preserve">7) </w:t>
      </w:r>
      <w:r w:rsidRPr="00C71ABB">
        <w:rPr>
          <w:rFonts w:ascii="B Nazanin" w:eastAsia="Times New Roman" w:hAnsi="B Nazanin" w:cs="B Nazanin"/>
          <w:sz w:val="28"/>
          <w:szCs w:val="28"/>
          <w:rtl/>
        </w:rPr>
        <w:t>خمسه نظامی (ضمیمه شاهنامه فردوسی</w:t>
      </w:r>
      <w:proofErr w:type="gramStart"/>
      <w:r w:rsidRPr="00C71ABB">
        <w:rPr>
          <w:rFonts w:ascii="B Nazanin" w:eastAsia="Times New Roman" w:hAnsi="B Nazanin" w:cs="B Nazanin"/>
          <w:sz w:val="28"/>
          <w:szCs w:val="28"/>
          <w:rtl/>
        </w:rPr>
        <w:t>)،</w:t>
      </w:r>
      <w:proofErr w:type="gramEnd"/>
      <w:r w:rsidRPr="00C71ABB">
        <w:rPr>
          <w:rFonts w:ascii="B Nazanin" w:eastAsia="Times New Roman" w:hAnsi="B Nazanin" w:cs="B Nazanin"/>
          <w:sz w:val="28"/>
          <w:szCs w:val="28"/>
          <w:rtl/>
        </w:rPr>
        <w:t xml:space="preserve"> چاپ عکسی، مرکز دائرة‏المعارف بزرگ اسلامی، تهران 1379، ص 145</w:t>
      </w:r>
      <w:r w:rsidRPr="00C71ABB">
        <w:rPr>
          <w:rFonts w:ascii="B Nazanin" w:eastAsia="Times New Roman" w:hAnsi="B Nazanin" w:cs="B Nazanin"/>
          <w:sz w:val="28"/>
          <w:szCs w:val="28"/>
        </w:rPr>
        <w:t>.</w:t>
      </w:r>
    </w:p>
    <w:p w:rsidR="00C71ABB" w:rsidRPr="00C71ABB" w:rsidRDefault="00C71ABB" w:rsidP="00C71AB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71ABB">
        <w:rPr>
          <w:rFonts w:ascii="B Nazanin" w:eastAsia="Times New Roman" w:hAnsi="B Nazanin" w:cs="B Nazanin"/>
          <w:sz w:val="28"/>
          <w:szCs w:val="28"/>
        </w:rPr>
        <w:t xml:space="preserve">8) </w:t>
      </w:r>
      <w:r w:rsidRPr="00C71ABB">
        <w:rPr>
          <w:rFonts w:ascii="B Nazanin" w:eastAsia="Times New Roman" w:hAnsi="B Nazanin" w:cs="B Nazanin"/>
          <w:sz w:val="28"/>
          <w:szCs w:val="28"/>
          <w:rtl/>
        </w:rPr>
        <w:t>نک. ابوالفضل مصفّی، فرهنگ اصطلاحات نجومی، تبریز، انتشارات دانشگاه، 1357، صفحه 384</w:t>
      </w:r>
      <w:r w:rsidRPr="00C71ABB">
        <w:rPr>
          <w:rFonts w:ascii="B Nazanin" w:eastAsia="Times New Roman" w:hAnsi="B Nazanin" w:cs="B Nazanin"/>
          <w:sz w:val="28"/>
          <w:szCs w:val="28"/>
        </w:rPr>
        <w:t>.</w:t>
      </w:r>
    </w:p>
    <w:p w:rsidR="00C71ABB" w:rsidRPr="00C71ABB" w:rsidRDefault="00C71ABB" w:rsidP="00C71AB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71ABB">
        <w:rPr>
          <w:rFonts w:ascii="B Nazanin" w:eastAsia="Times New Roman" w:hAnsi="B Nazanin" w:cs="B Nazanin"/>
          <w:sz w:val="28"/>
          <w:szCs w:val="28"/>
        </w:rPr>
        <w:t xml:space="preserve">9) </w:t>
      </w:r>
      <w:r w:rsidRPr="00C71ABB">
        <w:rPr>
          <w:rFonts w:ascii="B Nazanin" w:eastAsia="Times New Roman" w:hAnsi="B Nazanin" w:cs="B Nazanin"/>
          <w:sz w:val="28"/>
          <w:szCs w:val="28"/>
          <w:rtl/>
        </w:rPr>
        <w:t>نک. دایرة‏المعارف بزرگ لاروس</w:t>
      </w:r>
      <w:r w:rsidRPr="00C71ABB">
        <w:rPr>
          <w:rFonts w:ascii="B Nazanin" w:eastAsia="Times New Roman" w:hAnsi="B Nazanin" w:cs="B Nazanin"/>
          <w:sz w:val="28"/>
          <w:szCs w:val="28"/>
        </w:rPr>
        <w:t xml:space="preserve"> Grand Larousse) (</w:t>
      </w:r>
      <w:proofErr w:type="spellStart"/>
      <w:r w:rsidRPr="00C71ABB">
        <w:rPr>
          <w:rFonts w:ascii="B Nazanin" w:eastAsia="Times New Roman" w:hAnsi="B Nazanin" w:cs="B Nazanin"/>
          <w:sz w:val="28"/>
          <w:szCs w:val="28"/>
        </w:rPr>
        <w:t>Encyclopédique</w:t>
      </w:r>
      <w:proofErr w:type="spellEnd"/>
      <w:r w:rsidRPr="00C71ABB">
        <w:rPr>
          <w:rFonts w:ascii="B Nazanin" w:eastAsia="Times New Roman" w:hAnsi="B Nazanin" w:cs="B Nazanin"/>
          <w:sz w:val="28"/>
          <w:szCs w:val="28"/>
          <w:rtl/>
        </w:rPr>
        <w:t>، ذیل</w:t>
      </w:r>
      <w:r w:rsidRPr="00C71ABB">
        <w:rPr>
          <w:rFonts w:ascii="B Nazanin" w:eastAsia="Times New Roman" w:hAnsi="B Nazanin" w:cs="B Nazanin"/>
          <w:sz w:val="28"/>
          <w:szCs w:val="28"/>
        </w:rPr>
        <w:t xml:space="preserve"> «</w:t>
      </w:r>
      <w:proofErr w:type="spellStart"/>
      <w:r w:rsidRPr="00C71ABB">
        <w:rPr>
          <w:rFonts w:ascii="B Nazanin" w:eastAsia="Times New Roman" w:hAnsi="B Nazanin" w:cs="B Nazanin"/>
          <w:sz w:val="28"/>
          <w:szCs w:val="28"/>
        </w:rPr>
        <w:t>lune</w:t>
      </w:r>
      <w:proofErr w:type="spellEnd"/>
      <w:r w:rsidRPr="00C71ABB">
        <w:rPr>
          <w:rFonts w:ascii="B Nazanin" w:eastAsia="Times New Roman" w:hAnsi="B Nazanin" w:cs="B Nazanin"/>
          <w:sz w:val="28"/>
          <w:szCs w:val="28"/>
        </w:rPr>
        <w:t>»</w:t>
      </w:r>
      <w:r w:rsidRPr="00C71ABB">
        <w:rPr>
          <w:rFonts w:ascii="B Nazanin" w:eastAsia="Times New Roman" w:hAnsi="B Nazanin" w:cs="B Nazanin"/>
          <w:sz w:val="28"/>
          <w:szCs w:val="28"/>
          <w:rtl/>
        </w:rPr>
        <w:t xml:space="preserve">، </w:t>
      </w:r>
      <w:r w:rsidRPr="00C71ABB">
        <w:rPr>
          <w:rFonts w:ascii="B Nazanin" w:eastAsia="Times New Roman" w:hAnsi="B Nazanin" w:cs="B Nazanin"/>
          <w:sz w:val="28"/>
          <w:szCs w:val="28"/>
        </w:rPr>
        <w:t>«</w:t>
      </w:r>
      <w:proofErr w:type="spellStart"/>
      <w:r w:rsidRPr="00C71ABB">
        <w:rPr>
          <w:rFonts w:ascii="B Nazanin" w:eastAsia="Times New Roman" w:hAnsi="B Nazanin" w:cs="B Nazanin"/>
          <w:sz w:val="28"/>
          <w:szCs w:val="28"/>
        </w:rPr>
        <w:t>terre</w:t>
      </w:r>
      <w:proofErr w:type="spellEnd"/>
      <w:r w:rsidRPr="00C71ABB">
        <w:rPr>
          <w:rFonts w:ascii="B Nazanin" w:eastAsia="Times New Roman" w:hAnsi="B Nazanin" w:cs="B Nazanin"/>
          <w:sz w:val="28"/>
          <w:szCs w:val="28"/>
        </w:rPr>
        <w:t xml:space="preserve">» </w:t>
      </w:r>
      <w:r w:rsidRPr="00C71ABB">
        <w:rPr>
          <w:rFonts w:ascii="B Nazanin" w:eastAsia="Times New Roman" w:hAnsi="B Nazanin" w:cs="B Nazanin"/>
          <w:sz w:val="28"/>
          <w:szCs w:val="28"/>
          <w:rtl/>
        </w:rPr>
        <w:t>و</w:t>
      </w:r>
      <w:r w:rsidRPr="00C71ABB">
        <w:rPr>
          <w:rFonts w:ascii="B Nazanin" w:eastAsia="Times New Roman" w:hAnsi="B Nazanin" w:cs="B Nazanin"/>
          <w:sz w:val="28"/>
          <w:szCs w:val="28"/>
        </w:rPr>
        <w:t xml:space="preserve"> «</w:t>
      </w:r>
      <w:proofErr w:type="spellStart"/>
      <w:r w:rsidRPr="00C71ABB">
        <w:rPr>
          <w:rFonts w:ascii="B Nazanin" w:eastAsia="Times New Roman" w:hAnsi="B Nazanin" w:cs="B Nazanin"/>
          <w:sz w:val="28"/>
          <w:szCs w:val="28"/>
        </w:rPr>
        <w:t>soleil</w:t>
      </w:r>
      <w:proofErr w:type="spellEnd"/>
      <w:r w:rsidRPr="00C71ABB">
        <w:rPr>
          <w:rFonts w:ascii="B Nazanin" w:eastAsia="Times New Roman" w:hAnsi="B Nazanin" w:cs="B Nazanin"/>
          <w:sz w:val="28"/>
          <w:szCs w:val="28"/>
        </w:rPr>
        <w:t xml:space="preserve">». </w:t>
      </w:r>
      <w:r w:rsidRPr="00C71ABB">
        <w:rPr>
          <w:rFonts w:ascii="B Nazanin" w:eastAsia="Times New Roman" w:hAnsi="B Nazanin" w:cs="B Nazanin"/>
          <w:sz w:val="28"/>
          <w:szCs w:val="28"/>
          <w:rtl/>
        </w:rPr>
        <w:t xml:space="preserve">بنابر آنچه در لاروس آمده، در تابستان فاصله ماه نسبت به زمین درست عکس فاصله زمین نسبت به خورشید است، و می‏دانیم که خورشید در تابستان در حداکثر فاصله خود نسبت به زمین قرار می‏گیرد. این افزایش فاصله موجب کاهش جاذبه خورشید بر ماه می‏شود و این کاهش موجب نزدیکی بیشتر </w:t>
      </w:r>
      <w:r w:rsidRPr="00C71ABB">
        <w:rPr>
          <w:rFonts w:ascii="B Nazanin" w:eastAsia="Times New Roman" w:hAnsi="B Nazanin" w:cs="B Nazanin"/>
          <w:sz w:val="28"/>
          <w:szCs w:val="28"/>
          <w:rtl/>
        </w:rPr>
        <w:lastRenderedPageBreak/>
        <w:t>ماه به زمین. متغیر بودن ماههای قمری در تحولات تابستان و زمستان بی‏تأثیر است، زیرا سخن از بدر تمام است و در هر حال، در هر برج شمسی یک بدر تمام وجود دارد</w:t>
      </w:r>
      <w:r w:rsidRPr="00C71ABB">
        <w:rPr>
          <w:rFonts w:ascii="B Nazanin" w:eastAsia="Times New Roman" w:hAnsi="B Nazanin" w:cs="B Nazanin"/>
          <w:sz w:val="28"/>
          <w:szCs w:val="28"/>
        </w:rPr>
        <w:t>.</w:t>
      </w:r>
    </w:p>
    <w:p w:rsidR="00E94446" w:rsidRPr="00C71ABB" w:rsidRDefault="00E94446" w:rsidP="00C71ABB">
      <w:pPr>
        <w:bidi/>
        <w:spacing w:line="360" w:lineRule="auto"/>
        <w:jc w:val="lowKashida"/>
        <w:rPr>
          <w:rFonts w:ascii="B Nazanin" w:hAnsi="B Nazanin" w:cs="B Nazanin"/>
          <w:sz w:val="28"/>
          <w:szCs w:val="28"/>
        </w:rPr>
      </w:pPr>
    </w:p>
    <w:sectPr w:rsidR="00E94446" w:rsidRPr="00C71ABB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71ABB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D05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ABB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1ABB"/>
    <w:rPr>
      <w:color w:val="0000FF"/>
      <w:u w:val="single"/>
    </w:rPr>
  </w:style>
  <w:style w:type="character" w:customStyle="1" w:styleId="pagecount">
    <w:name w:val="pagecount"/>
    <w:basedOn w:val="DefaultParagraphFont"/>
    <w:rsid w:val="00C71ABB"/>
  </w:style>
  <w:style w:type="character" w:customStyle="1" w:styleId="pageno">
    <w:name w:val="pageno"/>
    <w:basedOn w:val="DefaultParagraphFont"/>
    <w:rsid w:val="00C71ABB"/>
  </w:style>
  <w:style w:type="character" w:customStyle="1" w:styleId="magsimg">
    <w:name w:val="magsimg"/>
    <w:basedOn w:val="DefaultParagraphFont"/>
    <w:rsid w:val="00C71ABB"/>
  </w:style>
  <w:style w:type="paragraph" w:styleId="NormalWeb">
    <w:name w:val="Normal (Web)"/>
    <w:basedOn w:val="Normal"/>
    <w:uiPriority w:val="99"/>
    <w:semiHidden/>
    <w:unhideWhenUsed/>
    <w:rsid w:val="00C71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1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1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4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9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2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5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1279</Words>
  <Characters>7292</Characters>
  <Application>Microsoft Office Word</Application>
  <DocSecurity>0</DocSecurity>
  <Lines>60</Lines>
  <Paragraphs>17</Paragraphs>
  <ScaleCrop>false</ScaleCrop>
  <Company>MRT www.Win2Farsi.com</Company>
  <LinksUpToDate>false</LinksUpToDate>
  <CharactersWithSpaces>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2010-07-13T12:19:00Z</dcterms:created>
  <dcterms:modified xsi:type="dcterms:W3CDTF">2010-07-13T12:21:00Z</dcterms:modified>
</cp:coreProperties>
</file>