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54" w:rsidRPr="00507054" w:rsidRDefault="00507054" w:rsidP="006844B8">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07054">
        <w:rPr>
          <w:rFonts w:ascii="Times New Roman" w:eastAsia="Times New Roman" w:hAnsi="Times New Roman" w:cs="Times New Roman"/>
          <w:b/>
          <w:bCs/>
          <w:sz w:val="24"/>
          <w:szCs w:val="24"/>
          <w:rtl/>
        </w:rPr>
        <w:t>مقدمه مترجم</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ورود و نشر اسلام در جنوب شرقی آسیا، خصوصا در مجمع الجزایر ملایو(شامل کشورهای کنونی مالزی اندونزی)، از جمله مهمترین وقایع تاریخ این منطقه می‏باشد.در مورد زمان دقیق ورود مسالمت آمیز اسلام به این بخش از جهان و علل گسترش آن، مباحثات زیادی بین مورخان وجود دارد. به لحاظ تاریخی، در فاصله میان قرون سیزده و تا شانزده میلادی، حکومتهای اسلامی متعددی در این نواحی پدید آمد؛و به تبع آن آیین اسلام در میان مردم رواج وسیع یافت؛در عین حال شواهد متعدد تاریخی گویای آن است که دست کم از چهار قرن پیش از این تاریخ، یعنی از حدود قرن هشتم میلادی به بعد، تجار و دریا نوردان مسلمان(اعم از عرب، هندی، ایرانی یا چینی)به این مناطق آمد و رفت داشته و در میان مردم این جزایر به خوبی شناخته شده بودند.برخی از این مسلمانان نیز در ن قاط مختلف این دیار سکنی گزیده و از طریق ازدواج و بر قراری پیوندهای خویشاوندی با مردم بومی، به سهم خود عامل رواج اسلام در منطقه، البته به صورت محدود، بودند. 1 بسیاری از صاحبنظران بر این عقیده هستند که جریان تصوف از جمله مهمترین عوامل نشر اسلام در این دیار بوده است، چرا که همزمان با سقوط خلافت بغداد به دست مغولان(656 ق</w:t>
      </w:r>
      <w:r w:rsidRPr="00507054">
        <w:rPr>
          <w:rFonts w:ascii="Times New Roman" w:eastAsia="Times New Roman" w:hAnsi="Times New Roman" w:cs="Times New Roman"/>
          <w:sz w:val="24"/>
          <w:szCs w:val="24"/>
        </w:rPr>
        <w:t>)</w:t>
      </w:r>
      <w:r w:rsidRPr="00507054">
        <w:rPr>
          <w:rFonts w:ascii="Times New Roman" w:eastAsia="Times New Roman" w:hAnsi="Times New Roman" w:cs="Times New Roman"/>
          <w:sz w:val="24"/>
          <w:szCs w:val="24"/>
          <w:rtl/>
        </w:rPr>
        <w:t>، فعالیتهای متصوفه گسترش یافته و بسیاری از صوفیان به همراه تجار مسلمان راهی سرزمینهای دیگر(منجمله مجمع الجزایر ملایو)شده و به ترویج آیین خود</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 xml:space="preserve">پرداختند؛و درست در همین دوره است که روند تاریخی گسترش اسلام، در مجمع الجزایر ملایو آغاز می‏گردد.باید در نظر داشت عامل مهمی که ترویج تصوف و اسلام صوفیانه را در این منطقه تسهیل می‏کرد، رواج آیینهای عرفانی هندو-بودایی در دوره ماقبل اسلامی بوده است.بعدها گسترش اسلام و خصوصا برداشتهای صوفیانه از اسلام، به نوبه خود، تاثیرات عمیقی را بر فرهنگ اجتماعات این جزایر بر جای نهاد که یکی از مظاهر آن را می‏توان در تحوّل ادبیات ملایو و افزایش غنای آن در دوره اسلامی، مشاهده کرد 2 </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موقعیت جغرافیایی آچه و اهمیت بازرگانی و دریانوردی آن(واقع در منتهی الیه شمال غربی جزیره سوماترا-غربی ترین نقطه در نقشه گنون اندونزی-)، سبب آن می‏شد که تجا و دریانوردان مسلمانی که عازم این نواحی بودند، نخست وارد آچه شده، و سپس راهی سایر نقاط مجمع الجزایر شوند.بدین ترتیب بود که اول بار، حاکمان آچه پذیرای اسلام شدند(اوایل قرن سیزده میلادی)و سپس حکومتهای اسلامی دیگری نیز در این جزایر پدیدار شد.آچه تا نیمه قرن هفدهم میلادی شاهد فرمانروایی حکمرانان مسلمان و مقتدری بود که خود مروج علوم و معرف اسلام نیز بودند.شهرت آچه به«رواق مکه»نیز بر همین اساس بود چرا که میهمانان مکه(بیگانگان مسلمان)برای ورود به این دیار، ابتدا به رواق آن(آچه)پای می‏نهادند و سپس راهی سایر نقاط آن می‏شدند 3</w:t>
      </w:r>
      <w:r w:rsidRPr="00507054">
        <w:rPr>
          <w:rFonts w:ascii="Times New Roman" w:eastAsia="Times New Roman" w:hAnsi="Times New Roman" w:cs="Times New Roman"/>
          <w:sz w:val="24"/>
          <w:szCs w:val="24"/>
        </w:rPr>
        <w:t xml:space="preserve">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دربار اسلامی آچه، خصوصا در قرون شانزده و هفده میلادی، مهد پرورش و اشاعه فرهنگ و اندیشه اسلامی بود و علمای مسلمان آچه، ضمن ارتباط با دانشمندان مسلمان سایر نقاط جهان، (خصوصا خاورمیانه)، نقش مهمی را در انتقال علوم و معارف اسلامی به این دیار ایفا می‏کردند.همزمان با ترجمه آثار اسلامی، و رواج اندیشه‏های متفکران مسلمان در میان مردم آچه، مباحثاتی علمی نیز میان عالمان مسلمان این دیار(خاصه بین متصوفه و عرفا)در می‏گیرد که در مواردی حتی به دسته بندی‏های اجتماعی و بروز بر خوردهای خشن منتهی وحدت وجود(پیروان حمزه فنصوری و شمس الدین)با مخالفانشان(مثل الرّانیری)، در قرن هفدهم میلادی بوده است 4 .بررسی این منازعات مذهبی، او جوانب گوناگون، دارای اهمیت بوده و خصوصا گویای نحوه انعکاس مسائل فکری مبتلا به کانونهای اصلی گسترش اسلام، در نقاط پیرامونی جهان اسلام می‏باشد</w:t>
      </w:r>
      <w:r w:rsidRPr="00507054">
        <w:rPr>
          <w:rFonts w:ascii="Times New Roman" w:eastAsia="Times New Roman" w:hAnsi="Times New Roman" w:cs="Times New Roman"/>
          <w:sz w:val="24"/>
          <w:szCs w:val="24"/>
        </w:rPr>
        <w:t>.</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Pr>
        <w:t>-</w:t>
      </w:r>
      <w:r w:rsidRPr="00507054">
        <w:rPr>
          <w:rFonts w:ascii="Times New Roman" w:eastAsia="Times New Roman" w:hAnsi="Times New Roman" w:cs="Times New Roman"/>
          <w:sz w:val="24"/>
          <w:szCs w:val="24"/>
          <w:rtl/>
        </w:rPr>
        <w:t>پرفسور آنتونی اچ.جونز(متولد1928 م)، نویسنده مقاله حاضر، یک از محققان انگلیسی است که از سالها پیش مطالعات و پژوهشهای متعددی را درباره فرهنگ و ادبیات این منطقه آغاز کرده و خصوصا درباره جریان تصوف در مجمع الجزایر ملایو آثاری را منتشر نموده است.وی در این مقاله به تشریح روابط میان یکی از علمای بر جسته آچه در قرن هفدهم میلادی، به نام عبدالرئوف، با استاد خود در مدینه به نام ابراهیم الکورانی می‏پردازد.عبد الرئوف(1617-1690 م)از اهالی سینگ کیل (واقع در سوماترا-اندونزی-)و از آن دسته صوفیانی بوده که در دوران تحصیل خود در مدینه، تحت تاثیر استاد خود شیح احمد قشّاشی، پیروی فرقه شطاریه را بر گزیده و پس از بازگشت به آچه، به ترویج تعالیم این فرقه در سوماترا، مالایا و جاوه می‏پردازد 5 .استاد دیگر وی در مدینه، ابراهیم الکورانی نام داشت که خود یکی از عالمان بر جسته آن عصر و از شارحان آثار ابن عربی بود. عبد الرئوف از جمله عالمانی بود که تحت حمایت ملکه تاج العالم(1641-1675 م)، یکی از سلاطین زن آچه، آثار مهمی را در زمینه فقه شافعی و تصوف نگاشت 6 ؛و نفوذ وی در جامعه آن روز آچه، تا بدان حدّ بود که مردم درباره او می‏گفتند:«تعیین رسوم مملکت، بر عهده سلطان است؛ولی تعیین قوانین مذهبی می‏باید مطابق نظر شیخ عبد الرئوف باشد» 7</w:t>
      </w:r>
      <w:r w:rsidRPr="00507054">
        <w:rPr>
          <w:rFonts w:ascii="Times New Roman" w:eastAsia="Times New Roman" w:hAnsi="Times New Roman" w:cs="Times New Roman"/>
          <w:sz w:val="24"/>
          <w:szCs w:val="24"/>
        </w:rPr>
        <w:t xml:space="preserve">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lastRenderedPageBreak/>
        <w:t xml:space="preserve">قبر عبد الرئوف در آچه(در حومه شهر«باندا آچه»مرکز ایالت آچه اندونزی)، اکنون مزار دوستداران وی می‏باشد.همانطور که پیشتر اشاره شد، پرفسور جونز در مقاله حاضر به بررسی روابط دوستانه میان عبد الرئوف و کورانی پرداخته، و خصوصا انگیزه‏های کورانی را در نوشتن رساله‏ای برای حل منازعات مذهبی در آچه بر می‏شمرد.این مقاله علاوه بر آن که اطلاعاتی را در مورد این دو عالم مسلمان قرن هفدهم میلادی به دست می‏دهد، برگی از تاریخ گسترده و نامدون نشر اسلام، در اندونزی را نیز باز می‏نماید؛تاریخی که در فصول مختلف آن، حضور فرهنگ و تمدن اسلامی ایران قابل مشاهده و استناد است و وجود واژه‏های متعدد فارسی-و نیز عربی-در زبان امروز اندونزیایی </w:t>
      </w:r>
      <w:r w:rsidRPr="00507054">
        <w:rPr>
          <w:rFonts w:ascii="Times New Roman" w:eastAsia="Times New Roman" w:hAnsi="Times New Roman" w:cs="Times New Roman"/>
          <w:sz w:val="24"/>
          <w:szCs w:val="24"/>
        </w:rPr>
        <w:t>(</w:t>
      </w:r>
      <w:proofErr w:type="spellStart"/>
      <w:r w:rsidRPr="00507054">
        <w:rPr>
          <w:rFonts w:ascii="Times New Roman" w:eastAsia="Times New Roman" w:hAnsi="Times New Roman" w:cs="Times New Roman"/>
          <w:sz w:val="24"/>
          <w:szCs w:val="24"/>
        </w:rPr>
        <w:t>Bahasa</w:t>
      </w:r>
      <w:proofErr w:type="spellEnd"/>
      <w:r w:rsidRPr="00507054">
        <w:rPr>
          <w:rFonts w:ascii="Times New Roman" w:eastAsia="Times New Roman" w:hAnsi="Times New Roman" w:cs="Times New Roman"/>
          <w:sz w:val="24"/>
          <w:szCs w:val="24"/>
        </w:rPr>
        <w:t xml:space="preserve"> Indonesia) </w:t>
      </w:r>
      <w:r w:rsidRPr="00507054">
        <w:rPr>
          <w:rFonts w:ascii="Times New Roman" w:eastAsia="Times New Roman" w:hAnsi="Times New Roman" w:cs="Times New Roman"/>
          <w:sz w:val="24"/>
          <w:szCs w:val="24"/>
          <w:rtl/>
        </w:rPr>
        <w:t>، روایتگر این ارتباط کهن تاریخی می‏باشد 8</w:t>
      </w:r>
      <w:r w:rsidRPr="00507054">
        <w:rPr>
          <w:rFonts w:ascii="Times New Roman" w:eastAsia="Times New Roman" w:hAnsi="Times New Roman" w:cs="Times New Roman"/>
          <w:sz w:val="24"/>
          <w:szCs w:val="24"/>
        </w:rPr>
        <w:t xml:space="preserve">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مترجم بر ذمّه خود می‏داند که از راهنماییهای ارزنده آقای عبد العظیم هاشمی نیک، که خود از</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پژوهشگران علاقه‏مند مسائل جنوب شرقی آسیاست، تشکر کند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07054">
        <w:rPr>
          <w:rFonts w:ascii="Times New Roman" w:eastAsia="Times New Roman" w:hAnsi="Times New Roman" w:cs="Times New Roman"/>
          <w:b/>
          <w:bCs/>
          <w:sz w:val="24"/>
          <w:szCs w:val="24"/>
          <w:rtl/>
        </w:rPr>
        <w:t>ارجاعات مقدمه مترجم</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(1).</w:t>
      </w:r>
      <w:r w:rsidRPr="00507054">
        <w:rPr>
          <w:rFonts w:ascii="Times New Roman" w:eastAsia="Times New Roman" w:hAnsi="Times New Roman" w:cs="Times New Roman"/>
          <w:sz w:val="24"/>
          <w:szCs w:val="24"/>
          <w:rtl/>
        </w:rPr>
        <w:t>برای اطلاع بیشتر ر.ک.هاشمی نیک، عبد العظیم</w:t>
      </w:r>
      <w:proofErr w:type="gramStart"/>
      <w:r w:rsidRPr="00507054">
        <w:rPr>
          <w:rFonts w:ascii="Times New Roman" w:eastAsia="Times New Roman" w:hAnsi="Times New Roman" w:cs="Times New Roman"/>
          <w:sz w:val="24"/>
          <w:szCs w:val="24"/>
          <w:rtl/>
        </w:rPr>
        <w:t>.«</w:t>
      </w:r>
      <w:proofErr w:type="gramEnd"/>
      <w:r w:rsidRPr="00507054">
        <w:rPr>
          <w:rFonts w:ascii="Times New Roman" w:eastAsia="Times New Roman" w:hAnsi="Times New Roman" w:cs="Times New Roman"/>
          <w:sz w:val="24"/>
          <w:szCs w:val="24"/>
          <w:rtl/>
        </w:rPr>
        <w:t xml:space="preserve">سوابق آشنایی مسلمانان با سرزمین و مردم ملایو»، مجله سیاست خارجی شماره 1 و 2، سال چهارم(بهار-تابستان </w:t>
      </w:r>
      <w:r w:rsidRPr="00507054">
        <w:rPr>
          <w:rFonts w:ascii="Times New Roman" w:eastAsia="Times New Roman" w:hAnsi="Times New Roman" w:cs="Times New Roman"/>
          <w:sz w:val="24"/>
          <w:szCs w:val="24"/>
        </w:rPr>
        <w:t>1369)</w:t>
      </w:r>
      <w:r w:rsidRPr="00507054">
        <w:rPr>
          <w:rFonts w:ascii="Times New Roman" w:eastAsia="Times New Roman" w:hAnsi="Times New Roman" w:cs="Times New Roman"/>
          <w:sz w:val="24"/>
          <w:szCs w:val="24"/>
          <w:rtl/>
        </w:rPr>
        <w:t>صص 147-173</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(2). </w:t>
      </w:r>
      <w:proofErr w:type="spellStart"/>
      <w:r w:rsidRPr="00507054">
        <w:rPr>
          <w:rFonts w:ascii="Times New Roman" w:eastAsia="Times New Roman" w:hAnsi="Times New Roman" w:cs="Times New Roman"/>
          <w:sz w:val="24"/>
          <w:szCs w:val="24"/>
        </w:rPr>
        <w:t>Alatas,Syed</w:t>
      </w:r>
      <w:proofErr w:type="spell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Farid.Notes</w:t>
      </w:r>
      <w:proofErr w:type="spellEnd"/>
      <w:r w:rsidRPr="00507054">
        <w:rPr>
          <w:rFonts w:ascii="Times New Roman" w:eastAsia="Times New Roman" w:hAnsi="Times New Roman" w:cs="Times New Roman"/>
          <w:sz w:val="24"/>
          <w:szCs w:val="24"/>
        </w:rPr>
        <w:t xml:space="preserve"> on Various Theories Regarding The </w:t>
      </w:r>
      <w:proofErr w:type="spellStart"/>
      <w:r w:rsidRPr="00507054">
        <w:rPr>
          <w:rFonts w:ascii="Times New Roman" w:eastAsia="Times New Roman" w:hAnsi="Times New Roman" w:cs="Times New Roman"/>
          <w:sz w:val="24"/>
          <w:szCs w:val="24"/>
        </w:rPr>
        <w:t>Islamization</w:t>
      </w:r>
      <w:proofErr w:type="spellEnd"/>
      <w:r w:rsidRPr="00507054">
        <w:rPr>
          <w:rFonts w:ascii="Times New Roman" w:eastAsia="Times New Roman" w:hAnsi="Times New Roman" w:cs="Times New Roman"/>
          <w:sz w:val="24"/>
          <w:szCs w:val="24"/>
        </w:rPr>
        <w:t xml:space="preserve"> of The Malay </w:t>
      </w:r>
      <w:proofErr w:type="spellStart"/>
      <w:r w:rsidRPr="00507054">
        <w:rPr>
          <w:rFonts w:ascii="Times New Roman" w:eastAsia="Times New Roman" w:hAnsi="Times New Roman" w:cs="Times New Roman"/>
          <w:sz w:val="24"/>
          <w:szCs w:val="24"/>
        </w:rPr>
        <w:t>Archipelago,The</w:t>
      </w:r>
      <w:proofErr w:type="spellEnd"/>
      <w:r w:rsidRPr="00507054">
        <w:rPr>
          <w:rFonts w:ascii="Times New Roman" w:eastAsia="Times New Roman" w:hAnsi="Times New Roman" w:cs="Times New Roman"/>
          <w:sz w:val="24"/>
          <w:szCs w:val="24"/>
        </w:rPr>
        <w:t xml:space="preserve"> Muslim </w:t>
      </w:r>
      <w:proofErr w:type="spellStart"/>
      <w:r w:rsidRPr="00507054">
        <w:rPr>
          <w:rFonts w:ascii="Times New Roman" w:eastAsia="Times New Roman" w:hAnsi="Times New Roman" w:cs="Times New Roman"/>
          <w:sz w:val="24"/>
          <w:szCs w:val="24"/>
        </w:rPr>
        <w:t>WorldVol</w:t>
      </w:r>
      <w:proofErr w:type="spell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LXXV.No</w:t>
      </w:r>
      <w:proofErr w:type="spellEnd"/>
      <w:r w:rsidRPr="00507054">
        <w:rPr>
          <w:rFonts w:ascii="Times New Roman" w:eastAsia="Times New Roman" w:hAnsi="Times New Roman" w:cs="Times New Roman"/>
          <w:sz w:val="24"/>
          <w:szCs w:val="24"/>
        </w:rPr>
        <w:t xml:space="preserve"> 3-4 July-</w:t>
      </w:r>
      <w:proofErr w:type="spellStart"/>
      <w:r w:rsidRPr="00507054">
        <w:rPr>
          <w:rFonts w:ascii="Times New Roman" w:eastAsia="Times New Roman" w:hAnsi="Times New Roman" w:cs="Times New Roman"/>
          <w:sz w:val="24"/>
          <w:szCs w:val="24"/>
        </w:rPr>
        <w:t>october</w:t>
      </w:r>
      <w:proofErr w:type="spellEnd"/>
      <w:r w:rsidRPr="00507054">
        <w:rPr>
          <w:rFonts w:ascii="Times New Roman" w:eastAsia="Times New Roman" w:hAnsi="Times New Roman" w:cs="Times New Roman"/>
          <w:sz w:val="24"/>
          <w:szCs w:val="24"/>
        </w:rPr>
        <w:t xml:space="preserve"> 5891.pp.261-571.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(3). </w:t>
      </w:r>
      <w:proofErr w:type="spellStart"/>
      <w:r w:rsidRPr="00507054">
        <w:rPr>
          <w:rFonts w:ascii="Times New Roman" w:eastAsia="Times New Roman" w:hAnsi="Times New Roman" w:cs="Times New Roman"/>
          <w:sz w:val="24"/>
          <w:szCs w:val="24"/>
        </w:rPr>
        <w:t>Aceh</w:t>
      </w:r>
      <w:proofErr w:type="gramStart"/>
      <w:r w:rsidRPr="00507054">
        <w:rPr>
          <w:rFonts w:ascii="Times New Roman" w:eastAsia="Times New Roman" w:hAnsi="Times New Roman" w:cs="Times New Roman"/>
          <w:sz w:val="24"/>
          <w:szCs w:val="24"/>
        </w:rPr>
        <w:t>,The</w:t>
      </w:r>
      <w:proofErr w:type="spellEnd"/>
      <w:proofErr w:type="gramEnd"/>
      <w:r w:rsidRPr="00507054">
        <w:rPr>
          <w:rFonts w:ascii="Times New Roman" w:eastAsia="Times New Roman" w:hAnsi="Times New Roman" w:cs="Times New Roman"/>
          <w:sz w:val="24"/>
          <w:szCs w:val="24"/>
        </w:rPr>
        <w:t xml:space="preserve"> Most Western Gate to The Indonesian Archipelago.[booklet] Aceh Tourism office,5891.p.11.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(4).</w:t>
      </w:r>
      <w:r w:rsidRPr="00507054">
        <w:rPr>
          <w:rFonts w:ascii="Times New Roman" w:eastAsia="Times New Roman" w:hAnsi="Times New Roman" w:cs="Times New Roman"/>
          <w:sz w:val="24"/>
          <w:szCs w:val="24"/>
          <w:rtl/>
        </w:rPr>
        <w:t xml:space="preserve">ریکلفس، ام.سی.تاریخ جدید اندونزی.ترجمه عبد العظیم هاشمی </w:t>
      </w:r>
      <w:proofErr w:type="gramStart"/>
      <w:r w:rsidRPr="00507054">
        <w:rPr>
          <w:rFonts w:ascii="Times New Roman" w:eastAsia="Times New Roman" w:hAnsi="Times New Roman" w:cs="Times New Roman"/>
          <w:sz w:val="24"/>
          <w:szCs w:val="24"/>
          <w:rtl/>
        </w:rPr>
        <w:t>نیک(</w:t>
      </w:r>
      <w:proofErr w:type="gramEnd"/>
      <w:r w:rsidRPr="00507054">
        <w:rPr>
          <w:rFonts w:ascii="Times New Roman" w:eastAsia="Times New Roman" w:hAnsi="Times New Roman" w:cs="Times New Roman"/>
          <w:sz w:val="24"/>
          <w:szCs w:val="24"/>
          <w:rtl/>
        </w:rPr>
        <w:t>تهران:دفتر مطالعات سیاسی و بین المللی، 1370).صص 77-79</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(5). al-</w:t>
      </w:r>
      <w:proofErr w:type="spellStart"/>
      <w:r w:rsidRPr="00507054">
        <w:rPr>
          <w:rFonts w:ascii="Times New Roman" w:eastAsia="Times New Roman" w:hAnsi="Times New Roman" w:cs="Times New Roman"/>
          <w:sz w:val="24"/>
          <w:szCs w:val="24"/>
        </w:rPr>
        <w:t>ATTAS</w:t>
      </w:r>
      <w:proofErr w:type="gramStart"/>
      <w:r w:rsidRPr="00507054">
        <w:rPr>
          <w:rFonts w:ascii="Times New Roman" w:eastAsia="Times New Roman" w:hAnsi="Times New Roman" w:cs="Times New Roman"/>
          <w:sz w:val="24"/>
          <w:szCs w:val="24"/>
        </w:rPr>
        <w:t>,Syed</w:t>
      </w:r>
      <w:proofErr w:type="spellEnd"/>
      <w:proofErr w:type="gram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Naguib.Some</w:t>
      </w:r>
      <w:proofErr w:type="spellEnd"/>
      <w:r w:rsidRPr="00507054">
        <w:rPr>
          <w:rFonts w:ascii="Times New Roman" w:eastAsia="Times New Roman" w:hAnsi="Times New Roman" w:cs="Times New Roman"/>
          <w:sz w:val="24"/>
          <w:szCs w:val="24"/>
        </w:rPr>
        <w:t xml:space="preserve"> Aspects of Sufism as Understood and </w:t>
      </w:r>
      <w:proofErr w:type="spellStart"/>
      <w:r w:rsidRPr="00507054">
        <w:rPr>
          <w:rFonts w:ascii="Times New Roman" w:eastAsia="Times New Roman" w:hAnsi="Times New Roman" w:cs="Times New Roman"/>
          <w:sz w:val="24"/>
          <w:szCs w:val="24"/>
        </w:rPr>
        <w:t>Practised</w:t>
      </w:r>
      <w:proofErr w:type="spellEnd"/>
      <w:r w:rsidRPr="00507054">
        <w:rPr>
          <w:rFonts w:ascii="Times New Roman" w:eastAsia="Times New Roman" w:hAnsi="Times New Roman" w:cs="Times New Roman"/>
          <w:sz w:val="24"/>
          <w:szCs w:val="24"/>
        </w:rPr>
        <w:t xml:space="preserve"> among The Malays(</w:t>
      </w:r>
      <w:proofErr w:type="spellStart"/>
      <w:r w:rsidRPr="00507054">
        <w:rPr>
          <w:rFonts w:ascii="Times New Roman" w:eastAsia="Times New Roman" w:hAnsi="Times New Roman" w:cs="Times New Roman"/>
          <w:sz w:val="24"/>
          <w:szCs w:val="24"/>
        </w:rPr>
        <w:t>Sikgapore:Malaysian</w:t>
      </w:r>
      <w:proofErr w:type="spellEnd"/>
      <w:r w:rsidRPr="00507054">
        <w:rPr>
          <w:rFonts w:ascii="Times New Roman" w:eastAsia="Times New Roman" w:hAnsi="Times New Roman" w:cs="Times New Roman"/>
          <w:sz w:val="24"/>
          <w:szCs w:val="24"/>
        </w:rPr>
        <w:t xml:space="preserve"> Sociological Research Institute,3691).pp.82-9.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(6).</w:t>
      </w:r>
      <w:r w:rsidRPr="00507054">
        <w:rPr>
          <w:rFonts w:ascii="Times New Roman" w:eastAsia="Times New Roman" w:hAnsi="Times New Roman" w:cs="Times New Roman"/>
          <w:sz w:val="24"/>
          <w:szCs w:val="24"/>
          <w:rtl/>
        </w:rPr>
        <w:t>ریکلفس.همان.ص 79</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(7). Aceh.op.cit.p.82.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(8).</w:t>
      </w:r>
      <w:r w:rsidRPr="00507054">
        <w:rPr>
          <w:rFonts w:ascii="Times New Roman" w:eastAsia="Times New Roman" w:hAnsi="Times New Roman" w:cs="Times New Roman"/>
          <w:sz w:val="24"/>
          <w:szCs w:val="24"/>
          <w:rtl/>
        </w:rPr>
        <w:t>عنوان اصلی مقاله عبارت است از</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Friends in </w:t>
      </w:r>
      <w:proofErr w:type="spellStart"/>
      <w:r w:rsidRPr="00507054">
        <w:rPr>
          <w:rFonts w:ascii="Times New Roman" w:eastAsia="Times New Roman" w:hAnsi="Times New Roman" w:cs="Times New Roman"/>
          <w:sz w:val="24"/>
          <w:szCs w:val="24"/>
        </w:rPr>
        <w:t>Grace</w:t>
      </w:r>
      <w:proofErr w:type="gramStart"/>
      <w:r w:rsidRPr="00507054">
        <w:rPr>
          <w:rFonts w:ascii="Times New Roman" w:eastAsia="Times New Roman" w:hAnsi="Times New Roman" w:cs="Times New Roman"/>
          <w:sz w:val="24"/>
          <w:szCs w:val="24"/>
        </w:rPr>
        <w:t>:Ibrahim</w:t>
      </w:r>
      <w:proofErr w:type="spellEnd"/>
      <w:proofErr w:type="gramEnd"/>
      <w:r w:rsidRPr="00507054">
        <w:rPr>
          <w:rFonts w:ascii="Times New Roman" w:eastAsia="Times New Roman" w:hAnsi="Times New Roman" w:cs="Times New Roman"/>
          <w:sz w:val="24"/>
          <w:szCs w:val="24"/>
        </w:rPr>
        <w:t xml:space="preserve"> al-</w:t>
      </w:r>
      <w:proofErr w:type="spellStart"/>
      <w:r w:rsidRPr="00507054">
        <w:rPr>
          <w:rFonts w:ascii="Times New Roman" w:eastAsia="Times New Roman" w:hAnsi="Times New Roman" w:cs="Times New Roman"/>
          <w:sz w:val="24"/>
          <w:szCs w:val="24"/>
        </w:rPr>
        <w:t>Kurani</w:t>
      </w:r>
      <w:proofErr w:type="spellEnd"/>
      <w:r w:rsidRPr="00507054">
        <w:rPr>
          <w:rFonts w:ascii="Times New Roman" w:eastAsia="Times New Roman" w:hAnsi="Times New Roman" w:cs="Times New Roman"/>
          <w:sz w:val="24"/>
          <w:szCs w:val="24"/>
        </w:rPr>
        <w:t xml:space="preserve"> and </w:t>
      </w:r>
      <w:proofErr w:type="spellStart"/>
      <w:r w:rsidRPr="00507054">
        <w:rPr>
          <w:rFonts w:ascii="Times New Roman" w:eastAsia="Times New Roman" w:hAnsi="Times New Roman" w:cs="Times New Roman"/>
          <w:sz w:val="24"/>
          <w:szCs w:val="24"/>
        </w:rPr>
        <w:t>Abd</w:t>
      </w:r>
      <w:proofErr w:type="spellEnd"/>
      <w:r w:rsidRPr="00507054">
        <w:rPr>
          <w:rFonts w:ascii="Times New Roman" w:eastAsia="Times New Roman" w:hAnsi="Times New Roman" w:cs="Times New Roman"/>
          <w:sz w:val="24"/>
          <w:szCs w:val="24"/>
        </w:rPr>
        <w:t xml:space="preserve"> Al-</w:t>
      </w:r>
      <w:proofErr w:type="spellStart"/>
      <w:r w:rsidRPr="00507054">
        <w:rPr>
          <w:rFonts w:ascii="Times New Roman" w:eastAsia="Times New Roman" w:hAnsi="Times New Roman" w:cs="Times New Roman"/>
          <w:sz w:val="24"/>
          <w:szCs w:val="24"/>
        </w:rPr>
        <w:t>Ra''uf</w:t>
      </w:r>
      <w:proofErr w:type="spellEnd"/>
      <w:r w:rsidRPr="00507054">
        <w:rPr>
          <w:rFonts w:ascii="Times New Roman" w:eastAsia="Times New Roman" w:hAnsi="Times New Roman" w:cs="Times New Roman"/>
          <w:sz w:val="24"/>
          <w:szCs w:val="24"/>
        </w:rPr>
        <w:t xml:space="preserve"> al-</w:t>
      </w:r>
      <w:proofErr w:type="spellStart"/>
      <w:r w:rsidRPr="00507054">
        <w:rPr>
          <w:rFonts w:ascii="Times New Roman" w:eastAsia="Times New Roman" w:hAnsi="Times New Roman" w:cs="Times New Roman"/>
          <w:sz w:val="24"/>
          <w:szCs w:val="24"/>
        </w:rPr>
        <w:t>Singkeli</w:t>
      </w:r>
      <w:proofErr w:type="spellEnd"/>
      <w:r w:rsidRPr="00507054">
        <w:rPr>
          <w:rFonts w:ascii="Times New Roman" w:eastAsia="Times New Roman" w:hAnsi="Times New Roman" w:cs="Times New Roman"/>
          <w:sz w:val="24"/>
          <w:szCs w:val="24"/>
        </w:rPr>
        <w:t xml:space="preserve">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مآخذ آن کتاب ذیل می‏باشد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07054">
        <w:rPr>
          <w:rFonts w:ascii="Times New Roman" w:eastAsia="Times New Roman" w:hAnsi="Times New Roman" w:cs="Times New Roman"/>
          <w:sz w:val="24"/>
          <w:szCs w:val="24"/>
        </w:rPr>
        <w:t>Spectrum</w:t>
      </w:r>
      <w:proofErr w:type="gramStart"/>
      <w:r w:rsidRPr="00507054">
        <w:rPr>
          <w:rFonts w:ascii="Times New Roman" w:eastAsia="Times New Roman" w:hAnsi="Times New Roman" w:cs="Times New Roman"/>
          <w:sz w:val="24"/>
          <w:szCs w:val="24"/>
        </w:rPr>
        <w:t>,Essays</w:t>
      </w:r>
      <w:proofErr w:type="spellEnd"/>
      <w:proofErr w:type="gramEnd"/>
      <w:r w:rsidRPr="00507054">
        <w:rPr>
          <w:rFonts w:ascii="Times New Roman" w:eastAsia="Times New Roman" w:hAnsi="Times New Roman" w:cs="Times New Roman"/>
          <w:sz w:val="24"/>
          <w:szCs w:val="24"/>
        </w:rPr>
        <w:t xml:space="preserve"> Presented to </w:t>
      </w:r>
      <w:proofErr w:type="spellStart"/>
      <w:r w:rsidRPr="00507054">
        <w:rPr>
          <w:rFonts w:ascii="Times New Roman" w:eastAsia="Times New Roman" w:hAnsi="Times New Roman" w:cs="Times New Roman"/>
          <w:sz w:val="24"/>
          <w:szCs w:val="24"/>
        </w:rPr>
        <w:t>Sutan</w:t>
      </w:r>
      <w:proofErr w:type="spell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Takdir</w:t>
      </w:r>
      <w:proofErr w:type="spell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Alisjahbana</w:t>
      </w:r>
      <w:proofErr w:type="spellEnd"/>
      <w:r w:rsidRPr="00507054">
        <w:rPr>
          <w:rFonts w:ascii="Times New Roman" w:eastAsia="Times New Roman" w:hAnsi="Times New Roman" w:cs="Times New Roman"/>
          <w:sz w:val="24"/>
          <w:szCs w:val="24"/>
        </w:rPr>
        <w:t xml:space="preserve"> on his Seventieth </w:t>
      </w:r>
      <w:proofErr w:type="spellStart"/>
      <w:r w:rsidRPr="00507054">
        <w:rPr>
          <w:rFonts w:ascii="Times New Roman" w:eastAsia="Times New Roman" w:hAnsi="Times New Roman" w:cs="Times New Roman"/>
          <w:sz w:val="24"/>
          <w:szCs w:val="24"/>
        </w:rPr>
        <w:t>birthdayEdited</w:t>
      </w:r>
      <w:proofErr w:type="spell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by:S.Udin</w:t>
      </w:r>
      <w:proofErr w:type="spellEnd"/>
      <w:r w:rsidRPr="00507054">
        <w:rPr>
          <w:rFonts w:ascii="Times New Roman" w:eastAsia="Times New Roman" w:hAnsi="Times New Roman" w:cs="Times New Roman"/>
          <w:sz w:val="24"/>
          <w:szCs w:val="24"/>
        </w:rPr>
        <w:t xml:space="preserve">.(JAKARTA:DIAN RAKYAT;8791).pp. 964-584.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این کتاب مجموعه مقالاتی است که به مناسبت هفتامین سال تولد تقدیر علی شهبانا گرد آوری شده است.تقدیر علی شهبانا یکی از متفکران و نویسندگان بر جسته اندونزی است که مؤسس و رئیس دانشگاه ناسیونال اندونزی(تاسیس 1949)نیز می‏باشد.وی اکنون 84 سال سن داشته و ریاست«مؤسسه فلسفه و آینده بشریت»را بر عهده دارد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07054">
        <w:rPr>
          <w:rFonts w:ascii="Times New Roman" w:eastAsia="Times New Roman" w:hAnsi="Times New Roman" w:cs="Times New Roman"/>
          <w:b/>
          <w:bCs/>
          <w:sz w:val="27"/>
          <w:szCs w:val="27"/>
          <w:rtl/>
        </w:rPr>
        <w:t>از حجاز تا آچه</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lastRenderedPageBreak/>
        <w:t>روابط عبد الرئوف و کورانی، چهره‏ای از نقش تصوف در گسترش اسلام در اندونزی</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اگر چه این نکته عموما مورد اتفاق است که اسلام یکی از بزرگتیرن سنن معنوی در میان تقریبا تمامی گروههای قومی در اندونزی است، درباره نحوه گسترش نقش حقوقی، فکری و معنوی اسلام در جنوب شرقی آسیا، اطلاعات نا چیزی در دست می‏باشد.این نکته حتی درباره بخشهایی از این منطقه که اسلام در آنها سلطه دارد نیز صادق است، یعنی مناطقی که امروزه جزء اندونزی و مالزی می‏باشند.درباره تاریخ اجتماعات اسلامی در برمه، تایلند، کامبوج و ویتنام مسأله از این هم فراتر می‏رود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دستیابی به تاریخ اسلام در این منطقه، با مشکلات عدیده عملی و روانشناختی همراه است.مشکلات عملی این کار بر خاسته از قلّت منابع اولیه و پراکندگی آنها در مناطق مختلف و به زبانهای گوناگون است.دشواری روانشناختی کار نیز مستقیما بر آمده از این امر است که بررسی تاریخ ورود اسلام به این منطقه، با نوعی تعمیم‏های گسترده هماره شده است که شاید در نگاه اول مهیج به نظر آید ولی بررسیهای دقیقتر، نادرستی مبانی آنها را آشکار می‏سازد.البته تعمیمهای گسترده، اموری ارزشمندند، ولی اگر گسترش اسلام را از یک سو به منزله حادثه‏ای مقدس، در خلال تقسیری پیروزمندانه از تاریخ اسلام، و از سوی دیگر به مثابه فرایندی تاریخی و تمام عیار در نظر بگیریم؛در چنین</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حالتی است که این تعمیمها نه تنها ارزش تاریخی نخواهند داشت، بلکه طرح آنها نوعی توهین به ارزشهای انسانی و حتی اهانت به خود اسلام خواهد بود.چرا که اسلام ماهیتا نظامی ارزشی است که افراد اختیارا آن را پذیرفته و تلاش می‏کنند خود را بر مبنای آن بنا کنند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اسلام در دوره ماقبل اندونزی 1 وارد جنوب شرقی آسیا شد.ورود اسلام، داستان پیچیده‏ای دارد و اسناد پراکنده مربوط به پیشینه آن، در مناطق مختلفی پخش شده است که هر یک تاریخ ویژه‏ای برای خود دارند.تاریخ این منطقه مملو از دوره‏های اغتشاش و آرامش و رکود و تحرک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اسلام در آغاز در شهرهای بندری واقع در این مجمع الجزایر و در میان اجتماعاتی بنیان گرفت که خود ریشه در سرزمینهای داخلی این جزایر داشته ولی چشم به دریا و ماورای آن دوخته بودند.این شهرهای بندری، برای مدتی طولانی، دست کم حدود دو هزار سال، نقش مهمی در زندگی مردم این منطقه داشتند.ظهور و سقوط آنها، رقابتهایشان با یکدیگر، از بین رفتن آنها در یک نقطه و پدیدار شدن مجددشان در محلی دیگر؛یکی از جاذبه‏های بررسیهای تاریخی در مورد منطقه جنوب شرقی آسیا می‏باشد؛لهذا تاریخ ورود اسلام به منطقه را نیز باید با توجه به این واقعیت ملاحظه کرد. ما چنین فرض بدیهی‏ای را می‏پذیریم که تقسیر ورود اسلام به گونه وقوع حادثه‏ای ناگهانی در زمان و مکانی معین، شیوه‏ای نا درست می‏باشد.همچنین این نکته را نیز می‏پذیریم که قبول تعمیمهای جسورانه‏ای همچون«جاوه توسط مالاکا به اسلام گروید 2 »، کمکی به حل موضوع مورد بررسی ما نمی‏کند.در عوض توجه خود را به گستره‏ای از نقاط آغازین، و شروط متعدد گسترش اسلام معطوف می‏سازیم.و از همه مهمتر اذعان می‏کنیم که فرایند مورد بررسی ما، فراز و فرودهایی را پشت نهاده است، و از خلال تحولات گوناگون در طی قرون مختلف، در مناطقی همچون هارو، پیدیر، پاسای، مالاکا، آچه، بانتن، توبان و ماکاسار 3 ، به توانمندی نائل شده است.البته مسؤولیت ایجاب می‏کند که ضمن توجه به این اصل عمومی، محدودیتهای آن نیز در نظر</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گرفته شود، زیرا فرایندهای تاریخی، بستگی زیادی به مقاصد افراد دارند و این که آنها در زمان خود موفق و یا ناکام محسوب می‏شده‏اند.در بررسی تاریخ اسلام، همانند مسیحیت، می‏باید عشق و اشتیاق افراد به فرهنگ و خداجویی را، به منزله عنصری مهم در رشد مذهب در نظر گرفت.همین اشتیاق محور تمامی جنبشهای فکری و روحانی اسلام در نقاط مختلف و در طول تاریخ بوده است.وقوع هر حادثه و حرکتی در یک منطقه، ارتباط و مشابهتی با حوادث، اندیشه‏ها و افراد مناطق دیگر داشته است.فرد محور این جریان است زیرا عشق به یادگیری و خدا جویی را فقط در افراد می‏توان باز شناخت و تجربه کرد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در اواخر قرن شانزدهم میلادی، و در دوره شکوفایی تعلیم و تعلّم اسلامی در شهر بندری آچه، با چنین فردی مواجه می‏شویم.اسامی حمزه پنسوری 4 (در گذشته 1600 م)و شمس الدین از اهالی پاسای 5 (در گذشته 1630 م).به خوبی شناخته شده‏اند؛ولی به لحاظ بررسیهای تاریخی، موقعیت عبد الرئوف، از اهالی سینگ کیل، که کمی پس از آنها می‏زیسته، از اهمیت بیشتری بر خوردار است.زیرا ارتباط او با یکی از استادانش در مدینه، به نام ابراهیم الکورانی(متولد کردستان)قابل استناد تاریخی می‏باشد؛خصوصا با توجه به اهمیتی که رابطه میان استاد و دانشجو در تعلیم و تربیت اسلامی دارد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lastRenderedPageBreak/>
        <w:t xml:space="preserve">مطالعه زندگی عبد الرئوف، علی رغم دشواریهایی که برای مورخان جنوب شرقی آسیا در بر دارد، از جهات مختلف جالب و مهم است.وی در حدود سال 1615 م در آچه متولد شده و در حوالی سال 1640 م، یعنی در سن 25 سالگی، راهی خاورمیانه می‏شود؛و در مراکز علمی مختلف، در یمن و حجاز به تحصیل می‏پردازد؛و از محضر درس و شخصیت دو تن از دانشمندان آن عصر به نامهای احمد قشّاشی و ابراهیم الکورانی استفاده می‏کند.او سپس در سال </w:t>
      </w:r>
      <w:r w:rsidRPr="00507054">
        <w:rPr>
          <w:rFonts w:ascii="Times New Roman" w:eastAsia="Times New Roman" w:hAnsi="Times New Roman" w:cs="Times New Roman"/>
          <w:sz w:val="24"/>
          <w:szCs w:val="24"/>
        </w:rPr>
        <w:t xml:space="preserve">1661 </w:t>
      </w:r>
      <w:r w:rsidRPr="00507054">
        <w:rPr>
          <w:rFonts w:ascii="Times New Roman" w:eastAsia="Times New Roman" w:hAnsi="Times New Roman" w:cs="Times New Roman"/>
          <w:sz w:val="24"/>
          <w:szCs w:val="24"/>
          <w:rtl/>
        </w:rPr>
        <w:t>م به آچه باز می‏گردد، و سالهای سال به عنوان استادی محترم در خدمت زائرانی بوده که هر ساله از این جزایر (هند شرقی)، از طریق آچه عازم مکه می‏شدند.وی همچنین نزدیک به 30 سال از</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طریق مکاتبه با استاد خود ابراهیم الکورانی، در آن سوی اقیانوس هند، ارتباط داشته است.موضوعات فکری مبتلا به جهان اسلام در قرن هفدهم میلادی، البته با مسائل دنیای نوین متفاوت بوده، ولی در عین حال مشکلات خاص خود را نیز به همراه داشته است.انعکاس این مسائل را می‏توان در منازعات شدیدی که از سال 1637 م به بعد در آچه، میان الرّانیری 6 و شاگردان حمزه پنسوری و شمس الدین بر سر فهم درست سنّت عرفانی در اسلام رخ داد، مشاهده نمود.عبد الرئوف در سال 1641 م تجربه تلخ این اختلافات را با خود به حجاز برد.بروز این منازعات در سوماترا، از جمله تاثیرات جانبی بزرگترین دوره تاریخ گسترش اسلام است.دوره‏میان قرون دوازدهم تا هفدهم میلادی، یکی از بزرگترین ادوار توسعه دامنه جهان اسلام می‏باشد. در این دوره اسلام به دستاوردهای بزرگی نائل شد که مشابه آن را در سه قرن اول ظهور برق آسای خود بر صحنه تاریخ، کسب نموده بود.در همین دوره بود که جریان تصوف، به منزله شبکه‏ای از روابط نزدیک میان پیران و مریدان، به کامل‏ترین مراحل خود رسید و نیز در این دوره بود که آثار مملو از تخیّل ابن عربی، که بی اغراق یکی از شگفت انگیزترین چهره‏های تاریخ است، مورد بسط و شرح قرار گرفت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آراء ابن عربی در شرح و بط نظام توحیدی، تفسیرهای قابل توجه وی از قرآن و نقش پیچیده و گیچ کننده‏ای که او برای خلاقیت اسماء الهی قائل است؛توسط نویسندگان بعدی، خصوصا الجیلی، مورد شرح و تفسیر قرار گرفته و به صورت بخشی از دستور العملهای معنوی در حلقه‏های متعدد صوفیانه در نقاط مختلف جهان اسلام(از غربی‏ترین بخش مراکش گرفته تا شرقی‏ترین جزایر جاوی 7 ، و نیز در میان اجتماعات مسلمان در آسیای مرکزی، چین، ساحل شرقی آفریقا، شبه قاره هند و سیلدن)در آمده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آیین وحدت وجود در جامعه اسلامی، هم نزد شیعیان و هم اهل سنّت رواج یافته و میان مکاتب و گروههای رقیب، مباحثات تندی را پدید آورده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تاریخ تصوف در فاصله میان عصر ابن عربی و دوره حاضر، هنوز بتمامه نوشته نشده</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است.اگر چه آثار بزرگی، توسط افرادی نامدار نوشته شده که بعضا مدعی فهم فتوحات مکّیه ابن عربی هستند، ولی هنوز می‏باید پژوهشهای بنیادین زیادی در این زمینه صورت پذیرد.همچنین اگر چه منابع این پژوهش را غالبا آثاری فرعی و غیر الهامی تشکیل می‏دهد، موضوع شناختن شبکه استادان، راههای انتقال این آیینها و رقابتهای مکاتب؛ که خود مایه پویایی جامعه اسلامی به صورت اجتماعی زنده و بالان در طول این دوره بوده است؛ضرورت فراوان دارد.انجام پژوهشهای محدود بعضا بیش از شهکارهای معروف و گاه به گاهی؛به دایش ما از زمان و مکان مدد می‏رساند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باید گفت که در مورد دو استاد عبد الرئوف مطالعات جامعی صورت نگرفته است و از میان آنها، ابراهیم الکورانی اهمیت بیشتری دارد؛زیرا وی، هر چند ناشناخته‏تر است، خود یکی از چهره‏های اصلی در سنّت پس از ابن عربی می‏باشد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در نوشته‏هایی که اروپائیان درباره شخصیتها و آثار جریان تصوف نگاشته‏اند، این شخصیت کمتر مطرح شده است.اگر چه بروکلمان نزدیک به 40 مورد از آثار وی را فهرست کرده است، ولی در این میان تنها یک اثر به چاپ رسیده است.این اثر با عنوان اللمعات السّنیة فی تحقیق الالقاء فی الأمنیة، رساله‏ای است کوتاه درباره کلماتی که ادعا می‏شود شیطان پس از آیات 19 و 20 سوره نجم(افر ایتم اللاّت و العزّی و منوة الثالثة الاخری)القاء کرده است، یعنی این عبارت:«تلک اغرانیق العلی و ان شفاعتهن لترتجی.» 8 با وجود آن که در آثار اروپائیان ذکری از کورانی در میان نیامده است، در تعدادی از تذکره‏های رجال عرب، مطالبی کم یا زیاد درباره این شخصیت وجود دارد.در دو تذکره مغربی، توجه خاصی نسبت به وی ابراز شده و ویژگی مدخلهای آنها گویای آن است که کورانی در زمان حیات خویش نیز به خوبی در مغرب (مراکش و الجزایر)شناخته شده بوده است؛که این امر هم به دلیل نوشته‏های او بوده و هم وجود شاگردانی که از این مناطق محضر او را در مدینه درک کرده بودند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lastRenderedPageBreak/>
        <w:t>تذکره نشر المثانی نوشته ابن الطّیب نویسنده الجزایری، اطلاعات جالب و بعضا خصمانه‏ای درباره او به دست می‏دهد.نویسنده در بیان شرح زندگی کورانی می‏نویسد که‏</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او در یکی از شهرهای واقع در کوهستانهای کردستان به نام«شرازور» 9 [شهر زور]به دنیا آمد، و در کردستان بزرگ شد و در همان جا به تحصیل پرداخت و پس از کسب مهارت در عربی و تبحّر در علوم عقلی، برای ادامه تحصیل عازم بغداد و سپس دمشق گشت و سرانجام به قاهره رفت و در الازهر مشغول به تحصیل شد.کورانی سرانجام در مدینه رحل اقامت افکند، و تحت هدایتهای روحانی القشّاشی قرار گرفت و سپس به عنوان خلیفه، جانشین وی در حلقه‏اش شد.او کتابخانه شخصی بزرگی داشت، در علم کلام و تصوف استاد بود، و رساله‏های متعددی را نیز در زمینه‏های مختلف به رشته تحریر درآورد.نویسنده این تذکره ضمن اذعان به اعتبار والا و تقدس کورانی، انتقادات تندی را نیز علیه او در زمینه‏های گوناگون مطرح می‏سازد؛همچون:طرح نظریه‏ای که معتقد است«کسب»در افعال آدمی مؤثر است(تمایل به عقاید قادریه)؛نوشتن رساله‏ای در مورد خصلت مادی عدم(متاثر از معتزله)؛تائید این خبر-بر مبنای تواتر-که پیامبر اسلام(ص)کلمات القاء شده توسط شیطان(در ادامه آیات 19 و 20 سوره نجم)را بر زبان رانده است و بالاخره نوشتن رساله‏ای درباره ایمان فرعون(بسط عقاید ابن عربی). 10</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همین نکته که کورانی به خاطر چنین مباحث گسترده‏ای مورد حمله قرار گرفته، شاخص خوبی است برای اطلاع یافتن از حیطه معلومات او.وی در رشته‏های مختلف علمی از موقعیت قابل قبولی برخوردار بود و همین امر باعث بروز اختلاف نظرهایی می‏شد.کورانی فردی مستقل بود که بر علوم مختلف اسلامی احاطه داشت و بر اساس آموخته‏هایش نظراتی را ابراز می‏کرد.خلاصه آن که او از آن دسته افرادی بود که مردم درباره آنها عقاید متفاوتی دارند، برخی حامی او و گروهی مخالف وی بودند و لذاست که کورانی در بین سایر معاصرین خود، چهره‏ای خلاق و مؤثر می‏نماید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این نکته خاص را نیز یکی از دشمنان او گفته است.در یک تذکره رجال مغربی که در مراکش تالیف شده است، ترجمه حالی در مورد کورانی وجود دارد که توسط یکی از حامیانش نگاشته شده است.این تذکره در مقایسه با نوشته ابن الطّیب، اطلاعاتی‏</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مختصرتر ولی متفاوت درباره او به دست می‏دهد.برای مثال این نکته در آن ذکر شده که یکی از شاگردان مراکشی وی، موفق به کسب اجازه از او شده است.همچنین آمده است که او با علمای فاس 11 مکاتباتی درباره موضوع«کسب»داشته است و رساله‏ای در این مورد نوشته که در آن با دیدگاههای السّنوسی، مرجع مورد قبول مردم فاس، مخالفت کرده است.این رساله به دست دانشجویان اهل فاس در مدینه افتاده و آنها نزد کورانی آمدند.وی به سخنانشان گوش کرد و گفت:«الحمد للّه!من تعالیم السّنوسی را رد می‏کنم و آنها طوطی‏وار همان حرفها را به من باز می‏گردانند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مولّف این تذکره در بیان حکایتی درباره کورانی، جنبه‏ای از اخلاص وی را باز نموده است که کما بیش اشاره‏ای نیز به شیوه او در مقام تعلیم دارد.وی می‏نویسد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w:t>
      </w:r>
      <w:r w:rsidRPr="00507054">
        <w:rPr>
          <w:rFonts w:ascii="Times New Roman" w:eastAsia="Times New Roman" w:hAnsi="Times New Roman" w:cs="Times New Roman"/>
          <w:sz w:val="24"/>
          <w:szCs w:val="24"/>
          <w:rtl/>
        </w:rPr>
        <w:t>ابراهیم الکورانی همواره می‏گفت:در آخر هر جلسه‏ای باید سوره فاتحه را قرائت کرد.پیرمرد فقیهی یکبار این ماجرا را برایم تعریف کرد:من هنگامی که مسن بودم با زن جوانی ازدواج کردم.با آن که خانواده این زن به من اعتماد و محبّت داشتند، همسرم به دلیل سنّ زیادم، باطنا از من بیزار بود و تنها به خاطر خانواده‏اش، تظاهر به محبت به من می‏کرد.یک روز هنگامی که زنی از دوستان همسرم به دیدنش آمده و آنها گرم صحبت بودند، من بدون آن که متوجه شوند به حرفهایشان گوش می‏دادم و هر نکته‏ای را که همسرم در مورد شکایت از من بر زبان می‏راند، در برگه کاغذی که همراهم بود می‏نوشتم.سپس هنگامی که زن میهمان می‏خواست برود، همسرم گفت ابتدا باید سوره فاتحه را با یکدیگر بخوانیم همچنانکه شوهرم و دوستانش موقع جدا شدن از یکدیگر چنین می‏کنند.بعد هر دو سوره فاتحه را قرائت کردند و من این سوره را نیز در همان کاغذ نوشتم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مدتی بعد به برادران همسرم همه آنچه که وی درباره من گفته بود، بازگو کردم و گفتم که او را وادار به زندگی با من نکنید.زیرا که قصد دارم طلاقش بدهم.آنها از این کار خواهر خود مکّدر شده و او را سرزنش کردند، ولی‏</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همسرم همه این اتهامات را منکرشد.سپس من کاغذ مزبور را نشان او داده و گفتم:بفرمائید در این کاغذ همه حرفهای شما علیه من نوشته شده است.ولی با کمال تعجب دیدم که بر روی آن کاغذ نوشته‏ای نبود جز سوره فاتحه.لهذا من دریافتم که سوره فاتحه همه بدگوئیهای او را محو کرده است.» 12</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 xml:space="preserve">تذکره هندی ابجد العلوم اطلاعات بیشتری درباره کورانی به دست می‏دهد.در این کتاب آمده است که او به زبانهای فارسی، کردی، ترکی و عربی تکلّم می‏کرد و نیز اشاره می‏کند که وی در عین حال که عالمی برجسته و باهوش بود، در زندگی </w:t>
      </w:r>
      <w:r w:rsidRPr="00507054">
        <w:rPr>
          <w:rFonts w:ascii="Times New Roman" w:eastAsia="Times New Roman" w:hAnsi="Times New Roman" w:cs="Times New Roman"/>
          <w:sz w:val="24"/>
          <w:szCs w:val="24"/>
          <w:rtl/>
        </w:rPr>
        <w:lastRenderedPageBreak/>
        <w:t>شخصی اهل زهد و شکیبایی و ملایمت و تواضع بود، و علی رغم شهرت والایی که به منزله یک استاد داشت، لباس مردم عادی حجاز را می‏پوشید و اعتنایی به شیوه لباس پوشیدن آن روز فقها و صفویان(لباده‏هایی با آستینهای بلند و عمامه‏های بزرگ)نداشت.حضور در مجلس او همانند حضور در یکی از باغهای بهشت بود.او صفویان را به فلاسفه ترجیح می‏داد و درباره فلاسفه می‏گفت:آنها در آستانه کشف حقیقت قرار دارند ولی هرگز هدایت نهایی نصیبشان نمی‏شود.در این تذکره ماده تاریخ وفات وی چنین آمده است:«انّا لی فراقک یا ابراهیم لمحزونون»، و این همان جمله‏ای است که پیامبر اسلام(ص)در هنگام فوت پسرش ابراهیم، بر زبان جاری کرد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کورانی پسری داشت به نام ابو طاهر محمد که راه پدر را تعقیب نمود و خرقه صوفیانه خود را از دست پدر اخذ کرد.یکی از استادان این پسر شخصی است به نام احمد ادریس المغربی که استاد مشهود مراکشی در علم نحو و معروف به سیبویه عصر خود بود. عبد للّه لاهوری عالم هندی نیز از جمله استادان حدیث پسر کورانی بوده است.عبد للّه لاهوری مردی نازکدل، مطیع و در مطالعه فردی ثابت قدم بود.هنگامی که یکی از طلاب هندیش، به قصد بازگشت به هند او را ترک می‏گفت، شعری بدین مضمون برایش قرائت کرد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من همه راههایی را که می‏دانستم فراموش کردم</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مگر آن راهی که مرا به خانه تو می‏رساند</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13</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شرح حال کورانی دست کم در شش تذکره دیگر آمده است که برخی از آنها منتشر شده و بعضی به صورت نسخ خطی وجود دارند.با استفاده از تراجم احوال موجود در این تذکره‏ها، که بعضا ماخوذ از یکدیگر بوده و گاهی نیز حاوی اطلاعات جدیدی می‏باشند؛می‏توان خرده خرده چهره گیرای کورانی را ترسیم نمود.این منابع روشن می‏سازند که در میان شاگردان او، علاوه بر افراد مراکشی و هندی، گروهی نیز از مردم جاوی حضور داشتند که عبد الرئوف یکی از آنها بود.بنابراین کورانی، همچنانکه در میان گروه استادان چهره‏ای اصلی به شمار می‏رفت؛به لحاظ آموزش دادن به دانشجویان جوامع مختلف نیز از برجستگی خاصی برخوردار بود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همچنانکه پیشتر اشاره شد، عبد الرئوف ضمن آگاهی کامل نسبت به منازعات مذهبی، در آچه وارد عربستان شد؛منازعاتی که برخاسته از جدالهای الرّانیری علیه نوشته‏ها و پیروان شمس الدین بود.عبد الرئوف ذاتا فردی مصالحه‏جو بود و از در گرفتن این نزاع شدید که در آن مسلمانان یکدیگر را متهم به کفر کرده و کتابهای همدیگر را می‏سوزاندند، اندوهناک بود.طرفین این منازعه از رساله کوتاهی به عنوان مبنای تعالیم عرفانی خود استفاده می‏کردند که توسط یک نویسنده هندی به نام محمد بن فضل اللّه، به سال 1590 م نوشته شده بود.این رساله که التحفة المرسلة الی روح النبی نام داشت از هند به آچه آمده بود. 14</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خود این رساله اثر مهمی به شمار نمی‏آید بلکه شرح مختصری است از هستی شناسی در مکتب ابن عربی که در چار چوبی ساده به بیان هفت مرتبه وجود پرداخته است. شواهد خارجی گویای آن است که این رساله قبل از سال 1630 م، و شاید از آغاز قرن مزبور، به خوبی در آچه شناخته شده بود.هم شمس الدین اهل پاسای از این رساله به کرّات استفاده می‏کرد و هم چهره مخالف او الرّانیری، بدان استناد می‏جسته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عبد الئوف نیز خود مکررا به این رساله اشاره دارد.خلاصه آن که این رساله تا پایان قرن هفدهم و دست کم در نیمه اول قرن هجدهم، موضوع بحث و اختلاف نظر در آچه بوده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 xml:space="preserve">مهمترین اثر کورانی عبارت است از رساله مفرده‏ای در شرح این متن مختصر، تحت عنوان اتحاف الذکی بشرح التحفة المرسلة الی النبی». 15 نقش عبد الرئوف را در نگاشتن این رساله نمی‏توان نادیده گرفت، هر چند که او اولین و یا تنها فرد جاوی نبوده که در آن زمان به مدینه آمده باشد و مطمئنا آخرین آنها نیز نبوده است.عبد الرئوف و کورانی ارتباط نردیکی با یکدیگر داشتند، و هر دو مظهر سنّت اصلی و مهم اسلامی، یعنی سنّت مصالحه بودند.بنابراین بسیار طبیعی است که </w:t>
      </w:r>
      <w:r w:rsidRPr="00507054">
        <w:rPr>
          <w:rFonts w:ascii="Times New Roman" w:eastAsia="Times New Roman" w:hAnsi="Times New Roman" w:cs="Times New Roman"/>
          <w:sz w:val="24"/>
          <w:szCs w:val="24"/>
          <w:rtl/>
        </w:rPr>
        <w:lastRenderedPageBreak/>
        <w:t>کورانی این رساله را که مورداستناد طرفین این منازعه شدید فکری در آچه بوده، برگزیده باشد تا با ترسیم اصول بنیادین تصوف و تشریح نکات مورد اختلاف، تلاش نماید تا این نزاع را یکبار و برای همیشه حل کند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خوشبختانه روابط میان کورانی و زائران جاوی، در یک تذکره رجال دیگر به قلم یکی از مریدان او به نام مصطفی الحماوی، به خوبی ترسیم شده است.در این تذکره که عواید الارتحال و نتایج السفر نام دارد، الحماوی به بیان روابط میان کورانی و این مسافران جاوی پرداخته و سخنان او را در مورد طلاّب جاوی خود و مسائلی که آنها از خودشان و مراحل تحصیل در سرزمینشان و نیز کتاب تحفه برای او گفته‏اند، باز می‏گوید.بیان الحماوی به شرح ذیل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w:t>
      </w:r>
      <w:r w:rsidRPr="00507054">
        <w:rPr>
          <w:rFonts w:ascii="Times New Roman" w:eastAsia="Times New Roman" w:hAnsi="Times New Roman" w:cs="Times New Roman"/>
          <w:sz w:val="24"/>
          <w:szCs w:val="24"/>
          <w:rtl/>
        </w:rPr>
        <w:t>شیخ ما ابراهیم الکورانی در حالی که رساله تحفه را در دست داشت، به من گفت که یکی از اصحاب جاوی ما به من خبر داد که این رساله و مباحث آن در سرزمینهای جاوی مشهور بوده و در مدارس مذهبی آموخته خویش فرا می‏گیرند.هر فرد عاقلی می‏داند که سبب رواج این رساله، تنها اخلاص مولّف نسبت به پیامبر و نیّت خیر وی بوده است و الاّ نه تنها بهترین پیران طریقت، بلکه‏</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مریدان آنها و بالاتر از آن مردم عادی و حتی جوانان مدارس می‏باید مطالب این رساله را رد می‏کردند.ولی وقتی که خداوند خیر کسی از بندگانش را بخواهد، کاری می‏کند که محبوب دین واقع شده و عوامل جذب دلش فراهم گردد.بنابراین درست همچنانکه یک کودک در ابتدا اصول اولیه و وظایف دینی را از راه تقلید و بدون درک کامل فرا می‏گیرد، ولی وقتی که بزرگ شد و ذهنش تکامل یافت مقاصد حقیقی این آموزشها را در می‏یابد؛دقیقا به همین ترتیب است که یک فرد اگر حقایق والای دین(یعنی عرفان)را در کودکی بیاموزد، وقتی که بزرگ می‏شود خداوند به او نوری عطا می‏کند تا این حقایق را به طور کامل بفهمد، و او این امر را سهل خواهد یافت.زیرا قبلا با قواعد آن بصورت ذهنی آشنا شده است...و به اعتقاد من وضیعتی که در سرزمین آنها(جاویها)وجود دارد چنان است که یک طلبه جوان ابتدا آن دسته از اصول اعتقادی را که دانستنش بر همه واجب است فرا می‏گیرد، یعنی معنای ظاهری قرآن و سیره پیامبر(ص)و تعالیم سلف صالح، و سپس به خواندن متون ابتدایی مربوط به این عناوین، که توسط مولفان معتبر سنّی نوشته شده است، می‏پردازد.پس از این مرحله اگر معلم ببیند که باید طلبه را با کتابهایی آشنا کند که مناسب حال افرادی است که به لحاظ ایمانی کامل‏تر می‏باشند، و بخواهد که او نیز از فواید این کتب بهره‏مند شود؛به او گوشزد می‏کند که آنچه که اکنون به تو می‏آموزم چنان نیست که به یکباره فهمیده شود، بلکه افرادی هستند که خود را وقف این امر کرده‏اند...آنها همان بندگان مخلص و وارثان انبیاء می‏باشند که قلبشان مالامال از معرفت و عشق نسبت به این امر بوده به نحوی که اعتنایی به سایر امور ندارند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ارزش چنین شیوه تعلیمی در آن است که ذهن فرد به آنچه که در کودکی با آن آشنا شده و پذیرفته است محدود نمی‏گردد، و او را منکر آن نمی‏شود که فراتر از ادراک خود و در ورای آنچه که آموخته و شهود کرده نیز، معارف</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و حقایقی وجود داشته باشد.چنین فردی در می‏یابد که ممکن است خداوند به بندگان خالص و عاشق خود چیزهایی عطا کند بیش از آن چه که به مردم عادی آموخته است.عطایایی الهی که نه با مفاد کتاب و سنّت ناسازگارند و نه با عقاید عامه مردم متفاوت می‏باشند». 14</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در نخستین بخش همین فقره از تذکره مذکور، زمان وقوع این گفت و گو را سال 1675 م ذکر کرده است.از متن چنین برمی‏آید که کورانی در حال تدریس برای شاگردان خود، از روی تفسیر خویش بر تحفه، بوده است.معلوم نیست که وی چه مدت روی این تفسیر کار کرده، ولی در مقدمه‏ای که بر متن کامل اثر نگاشته است به بیان شرایطی می‏پردازد که وی را بدین کار واداشته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w:t>
      </w:r>
      <w:r w:rsidRPr="00507054">
        <w:rPr>
          <w:rFonts w:ascii="Times New Roman" w:eastAsia="Times New Roman" w:hAnsi="Times New Roman" w:cs="Times New Roman"/>
          <w:sz w:val="24"/>
          <w:szCs w:val="24"/>
          <w:rtl/>
        </w:rPr>
        <w:t>اطلاعات موثقی که از مردم جاوی به ما رسیده، حاکی از آن می‏باشد که در میان اهالی سرزمینهای جاوه، برخی از کتب مربوط به حقایق رواج یافته است و افرادی منسوب به علم نیز به تعلیم و تعلّم این آموزشهای رمز گونه پرداخته‏اند؛که خود نه تنها از درک شریعت محمد مصطفی(ص)، برگزیده خداوند، عاجز هستند بلکه حتی از آن گونه از معارفی که نصیب پیروان راه خدای متعال می‏گردد، نیز بی‏بهره می‏باشند.این افراد حتی به اندازه بندگان خوب و مقرب خدا، یا بندگان کاملا مطیع پروردگار و پایبند به کتاب و سنّت، و یا پارسایان و مخلصان؛بهره‏ای از معرفت به حقایق نبرده‏اند.این وضعیت موجب شده که بسیاری از افراد از مسیر صحیح منحرف شوند و برخی از عقاید نادرست نیز رواج یابد، و فی الواقع کثیری به وادی بی اعتقادی و ارتداد کشیده شوند.نعوذ باللّه من الخطا و من کل شر فی السّر و العلن</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lastRenderedPageBreak/>
        <w:t>این افراد جاوی به من گفتند که یکی از مشهورترین کتب رایج در دیارشان، رساله‏ای مختصر تحت عنوان التحفة المرسلة الی النبی می‏باشد که توسط یکی از عارفان خدای متعال به نام شیخ محمد بن شیخ فضل الله الهندی‏</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البرهان پوری، جزاه اللّه تعالی، نوشته شده است.بسیاری از این افراد از این حقیر در خواست نمودند که شرحی بر این رساله بنویسم که روشنگر انطباق مسائل مورد بحث در آن مبانی و اصول مذهب و بر وفق کتاب مقدس و سنّت اشرف انبیاء، صلوات اللّه و سلامه علیه و علیهم و علی اهل بیتهم اجمعین، باشد.علی رغم بضاعت مزجاة خود و اذعان به اینکه شرح آنچه که فهمیده شده به زبانی قابل فهم و مطابق با کتاب و سنّت، کاری بس دشوار می‏باشد، در مقام پاسخ به در خواست آنها برآمدم به این امید که به اذن خداوند رب العالمین این کار مثمرثر باشد.خداوند قادر و متعالی که«مرج البحرین یلتقیان، بینهما برزخ لا یبغیان» 17 ، همان کسی است که قادر است هر یک از بندگانش را که بخواهد به لقای خود نائل کند.بنابراین باید نهایت سعی خود را به کار بست و از خداوند استمداد کرد.لهذا با کمال حقارت و از سر احتیاج او را می‏خوانم که به من این توفیق را عطا کند که شرح مناسبی بر این رساله بنویسم، با استفاده از آثار اهل کشف و شهود و کسانی که از طریق اطاعت کامل حق و مشاهده اسماء الهی به شهود وی نائل شده‏اند، یعنی بندگان اهل حقیقت و اخلاص.«ربّ اشرح لی صدری و یسّرلی امری و احلل عقدة من لسانی یفقهوا قولی» 18 ، «ربّ هب لی حکما و الحقنی بالصالحین و اجعل لی لسان صدق فی الاخرین 19 »...آمین. 20</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از روی این متن نمی‏توان دریافت که کورانی چند سال درگیر این کار بوده و دقیقا چند تعداد از افراد جاوی با او گفت و گو کرده و آنها چه کسانی بوده‏اند.آنچه که روشن می‏باشد این است که وی انجام این کار وظیفه‏ای جدّی تلقی کرد و بدین خاطر مدتی طولانی بر سر قبر پیامبر(ص)در مدینه به جدّ دست به دعا بر می‏دارد و تا پیش از دریافت پاسخ دعای خود، کار خویش را آغاز نمی‏کند؛گواه این معناست که انجام این وظیفه برای او امری‏</w:t>
      </w:r>
      <w:r w:rsidR="006844B8">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به حق بوده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کورانی شرح خود را به شیوه مرسوم آغاز می‏کند و پس از ذکر مقدمه، درباره شرح حال مولف و استادانش توضیحاتی به دست می‏دهد، به گونه‏ای که محمد بن فضل اللّه را استادی معتبر و قابل اعتنا معرفی می‏کند.سپس بررسی متن مزبور را آغاز کرده و در ابتدا به تشریح اهمیت کار مولف در شروع متن خود با بسلمه(بسم اللّه الرحمن الرحیم)و حمد له(الحمد للّه)می‏پردازد.در مرحله بعد دسته‏ای از کلمات و اصطلاحات را برگزیده و معانی آنها را توضیح می‏دهد، ولی پس از چند سطر به شیوه یک سخنران عمومی، «متن»را رها کرده و با سربلندی اعلام می‏کند که مطالب مهم دیگری وجود دارند که لازم است پیش از شروع شرح، در چندین فصل مطرح شوند.در واقع وی پس از اتمام بحث در مورد این مطالب کلیدی، دیگر به شرح تحفه نمی‏پردازد و در عوض اصول اندیشه ابن عربی را به روشنی و شیوایی تمام تشریح می‏کند.کورانی در این مرحله، نه تنها افراد جاوی، بلکه همه جهان اسلام را مخاطب خود قرار می‏دهد و خواستار آن می‏شود که«کشف»به منزله راهنمایی معتبر برای فهم معنای باطنی قرآن و سنّت شناخته شود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 xml:space="preserve">وی همچنین ضمن توصیه به اطاعت کامل از دستورات شرع، خواهان پذیرش فلسفه وحدت وجود می‏گردد چرا که این آیین را، نه صرفا بدیلی برای اشعریت(قائل به نظریه کسب)بلکه، ساختاری مفهومی می‏داندکه با حقایق مذهبی و اخلاقی و نماد پردازی </w:t>
      </w:r>
      <w:r w:rsidRPr="00507054">
        <w:rPr>
          <w:rFonts w:ascii="Times New Roman" w:eastAsia="Times New Roman" w:hAnsi="Times New Roman" w:cs="Times New Roman"/>
          <w:sz w:val="24"/>
          <w:szCs w:val="24"/>
        </w:rPr>
        <w:t>(</w:t>
      </w:r>
      <w:r w:rsidRPr="00507054">
        <w:rPr>
          <w:rFonts w:ascii="Times New Roman" w:eastAsia="Times New Roman" w:hAnsi="Times New Roman" w:cs="Times New Roman"/>
          <w:sz w:val="24"/>
          <w:szCs w:val="24"/>
          <w:rtl/>
        </w:rPr>
        <w:t>سمبولیسم)و هستی شناسی قرآنی بیشترین تناسب را دارد</w:t>
      </w:r>
      <w:r w:rsidRPr="00507054">
        <w:rPr>
          <w:rFonts w:ascii="Times New Roman" w:eastAsia="Times New Roman" w:hAnsi="Times New Roman" w:cs="Times New Roman"/>
          <w:sz w:val="24"/>
          <w:szCs w:val="24"/>
        </w:rPr>
        <w:t>.</w:t>
      </w:r>
    </w:p>
    <w:p w:rsidR="00507054" w:rsidRPr="00507054" w:rsidRDefault="00507054" w:rsidP="007148AF">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کورانی در این مباحث خصوصا بر این نکته استدلال می‏ورزد که تنها از این طریق است که می‏توان مشکل آیات متشابه قرآن را حل کرد و قائل بدین معنا شد که قصد خداوند از نازل کردن این آیات هر چه بوده، نباید با اصل نفی تشبیه و تعطیل در مورد وجود خدا منافات داشته باشد.لهذا از این طریق است که تعارض ظاهری میان آن دسته از آیات قرآنی که تأکید بر تعالی خداوند دارند با آیاتی که ظاهرا برای خدا مکان خاص یا مشکل ویژه‏ای را قائل می‏شوند(مثلا آیاتی که اشاره به وجه اللّه یا ید اللّه و یا عرش خدا دارند)، از میان می‏رود</w:t>
      </w:r>
      <w:r w:rsidRPr="00507054">
        <w:rPr>
          <w:rFonts w:ascii="Times New Roman" w:eastAsia="Times New Roman" w:hAnsi="Times New Roman" w:cs="Times New Roman"/>
          <w:sz w:val="24"/>
          <w:szCs w:val="24"/>
        </w:rPr>
        <w:t>.</w:t>
      </w:r>
      <w:r w:rsidR="007148AF">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نوشته کورانی در این بخش شکل دفاعی به خود می‏گیرد و او به دفاع از شکل و ساختار خاصی از تفکر می‏پردازد که می‏تواند به مثابه ابزاری برای مشاهده و نظم بخشی غنای سرشار وحی اسلامی به کار گرفته شود.او در این زمینه خود را مبتکر نمی‏داند، بکه به دفاع از بعد جدیدی از اسلام می‏پردازد که قبلا توسط متصوفه، غزّالی و در راس همه آنها ابن عربی مطرح شده است.بخشهای مختلف رساله او روشنگر دیدگاه صوفیانه در قبال قرآن، حدیث، کلام مدرسی و فلسفه می‏باشد.روش او عبارت است از تصدیق تعالیم عمومی اهل سنّت و مبانی سلف صالح در ابتدا، و سپس بسط معانی این آموزشها به گونه‏ای کاملا استادانه و در جهت سازگار نمودنشان با سنّت صوفیانه، و در انتها معرفی این متقدّمان به عنوان معلمان سنّت صوفیانه.قصد او از این کار عبارت است از فراخ‏تر نمودن جهان‏بینی خویش تا سر حدّ امکان و سپس خالی کردن زیر پای حریف</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lastRenderedPageBreak/>
        <w:t>وی در بررسی قرآن این دستور العمل علی علیه السلام را به عنوان نخستین گام برمی‏گیرد قرآن را باید به کمک سنّت تفسیر نمود چرا که قرآن فی نفسه دارای وجوه متعدد می‏باشد.ممکن است کسی تصور کند که این تأکید برای جلوگیری از استناد معانی دلخواه به قرآن آمده است، ولی در واقع کورانی به دلیل کاملا متفاوتی از آن استفاده می‏کند.او استدلال می‏کند که هر معنایی که از عبارت قرآنی فهمیده شود، خواه به لحاظ معانی کلمات مفرده عربی، و خواه بر اساس قواعد صرف و نحو عربی؛معنایی است معتبر که به عنوان بخشی از وحی الهی، مقصود خداوند نیز بوده است، حتی اگر این معنا قابل استنتاج از رویه‏های معمول تفسیر قرآن نباشد.قابل توجه آن که یکی از استادان هندی متعلق به دودمان فکری کورانی نیز، به نام المهیمی(1374-1432 م)، در جایی اظهار داشته است که تنها برای نخستین آیه سوره بقره 524 و 344 و 128 معنا کشف نموده است.سرّ این کار او عبارت است از اعتقاد به این که، آنچه اندیشه بشر می‏تواند از مسائل الهی مندرج در قرآن بیاموزد، محدود است.ولی آنچه که خداوند از حقایق قرآن، می‏تواند از طریق کشف به انسان الهام کند، بی نهایت است</w:t>
      </w:r>
      <w:r w:rsidRPr="00507054">
        <w:rPr>
          <w:rFonts w:ascii="Times New Roman" w:eastAsia="Times New Roman" w:hAnsi="Times New Roman" w:cs="Times New Roman"/>
          <w:sz w:val="24"/>
          <w:szCs w:val="24"/>
        </w:rPr>
        <w:t>.</w:t>
      </w:r>
    </w:p>
    <w:p w:rsidR="00507054" w:rsidRPr="00507054" w:rsidRDefault="00507054" w:rsidP="007148AF">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پیگیری تمامی مطالب مندرج در رساله کورانی کار ساده‏ای نیست؛چرا که وی فردی‏</w:t>
      </w:r>
      <w:r w:rsidR="007148AF">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عمیقا عالم بوده و به کلام مدرسی، منابع اصلی حدیث و صرف و نحو عربی به خوبی احاطه داشته است.او استاد نوشته‏های ابن عربی بود و با آثار مخالفان وی نیز(کسانی مثل تفتازانی و ابن تیمیه)آشنایی داشت.او عارفی بود که نظر خود را در قبال بسیاری از مسائل مورد اختلاف اسلامی بیان کرده بود، ولی همانطور که قبلا اشاره شد وی فردی شدیدا مصالحه طلب بود و برای مثال مکررا این کلمات قصار را تکرار می‏کرد:«آشتی دادن میان نظرات مخالف؛بهتر است از پذیرفتن یکی از آنها»، «حقیقت در حدّ وسط میان افراط و تفریط یافته می‏شود».کورانی به دنبال آن بود که این مصالحه جویی را در چارچوب علوم رسمی و عقاید جامعه اسلامی، که در قرون متمادی شکل گرفته بودند، وارد کند.او به دلیل وفاداری به همین چارچوب رسمی بود که رساله کوتاهی در دفاع از سندیت تاریخی قرائت کلمات القاء شده توسط شیطان، از سوی پیامبر(ص)، نگاشت. یعنی(همانطور که قبلا گفته شد)همان عبارتی که برخی مدعی اضافه شدن آن به قرآن (پس از آیه 20 سوره نجم)هستند، که به شرح ذیل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تلک الغرانیق العلی و ان شفاعتهن لترتجی</w:t>
      </w:r>
      <w:r w:rsidRPr="00507054">
        <w:rPr>
          <w:rFonts w:ascii="Times New Roman" w:eastAsia="Times New Roman" w:hAnsi="Times New Roman" w:cs="Times New Roman"/>
          <w:sz w:val="24"/>
          <w:szCs w:val="24"/>
        </w:rPr>
        <w:t>.»</w:t>
      </w:r>
    </w:p>
    <w:p w:rsidR="00507054" w:rsidRPr="00507054" w:rsidRDefault="00507054" w:rsidP="007148AF">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همچنانکه پیشتر در نقل اقوال تذکره‏ها گفته شد، همین رساله سبب محکومیت کورانی از سوی علمای فاس شد و او را وادار به ارسال نامه جوابیه‏ای به فاس(به تاریخ 1657 م/1066 ق)نمود.وی در این نامه که عنوان آن«النبراس لکشف الالتباس الواقع فی الاساس»می‏باشد، به دفاع از دیدگاه خود پرداخته است.اگر چه خود روش احتجاج کورانی در این نامه جالب است، ولی اصولی را که برای تفسیر این ماجرا و ایجاد مصالحه میان آراء مختلف درباره آن، استفاده می‏کند نیز، در جای خود آموزنده است.نخستین گواه مورد استشهاد وی در این خصوص، عبارت از آن است که به نظر او اعتبار این حکایت مبتنی بر تواتر است، بنابراین باید آن را پذیرفت.از سوی دیگر عصمت پیامبر(ص)نیز امری غیر قابل انکار است، حال چگونه باید میان این دو امر ناسازگار آشتی برقرار کرد؟کورانی چنین استدلال می‏کند که شیطان با بهره گیری از اشتیاق پیامبر(ص)نسبت به تغییر عقیده مردم قریش، مجاز بود که این کلمات پلید را در</w:t>
      </w:r>
      <w:r w:rsidR="007148AF">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پیام وی داخل کند؛یعنی آن سخنان از قصد پیامبر(ص)در مصالحه با دشمنان پیام خویش، نشات نگرفته بود، بنابراین عصمت پیامبر همچنان محفوظ بوده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این استدلال ماهرانه کورانی که بر اطلاعات وسیعی نیز تکیه دارد، راهی اساسی برای حل این موضوع در پیش می‏نهد، که در عین حال با سنّت مهم اختیار در آموزشهای اخلاقی اسلام و مفاهیم مربوط به مسوولیت نیز منطبق است؛که بر طبق آن ملاک داوری درباره عمل انسان، نیّت عامل است</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کورانی صرفا یک منطقی مصالحه طلب نبود یا کسی که استدلال مدرسی را برای دفاع از تعالیم مکتب ابن عربی بکار گیرد؛بلکه به لحاظ شخصی نیز فردی مخلص بود که این جنبه از شخصیت وی، تا حدودی در حکایت مربوط به او در ارتباط به سوره فاتحه (و قدرت آن در محو بدگوییها)باز نموده شد.سخنان کورانی در مورد پنج جمله معروف علی علیه السلام به کمیل، که خود نمایانگر والاترین مراحل بصیرت عرفانی است، شخصیت وی را بهتر می‏نمایاند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ابراهیم الکورانی در این مورد چنین می‏نویسد: برای نیل به این امر یعنی بالاترین درجه بصیرت، پنج جمله معروف امیر المومنین علی علیه السلام کفایت می‏کند.این کلمات را حضرت در پاسخ به کمیل ابراز داشته است، که از وی می‏پرسد:حقیقت چیست؟ علی علیه السلام:تو را با حقیقت چه کار است؟ کمیل:آیا من نزدیکترین دوست شما نیستم؟ علی علیه السلام:آری، ولی آنچه که از من ریزش می‏کند به تو خواهد رسید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lastRenderedPageBreak/>
        <w:t>کمیل:آیا کسی همچون شما، در خواست سوال کننده را وا می‏گذارد؟ علی علیه السلام:[حقیقت عبارت است از:]الهام شدن محامد الهی به گونه‏ای نامحدود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کمیل:مرا بیشتر بیاموز</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علی علیه السلام:زائل شدن اوهام از طریق تابش انوار معرفت. کمیل:مرا بیشتر بیاموز. علی علیه السلام:از بین رفتن حجاب از طریق غلبه یافتن ضمیر و باطن</w:t>
      </w:r>
      <w:r w:rsidRPr="00507054">
        <w:rPr>
          <w:rFonts w:ascii="Times New Roman" w:eastAsia="Times New Roman" w:hAnsi="Times New Roman" w:cs="Times New Roman"/>
          <w:sz w:val="24"/>
          <w:szCs w:val="24"/>
        </w:rPr>
        <w:t xml:space="preserve">. </w:t>
      </w:r>
      <w:r w:rsidRPr="00507054">
        <w:rPr>
          <w:rFonts w:ascii="Times New Roman" w:eastAsia="Times New Roman" w:hAnsi="Times New Roman" w:cs="Times New Roman"/>
          <w:sz w:val="24"/>
          <w:szCs w:val="24"/>
          <w:rtl/>
        </w:rPr>
        <w:t>کمیل:مرا بیشتر بیاموز. علی علیه السلام:نیل به یگانگی از طریق توحید. کمیل:مرا بیشتر بیاموز. علی علیه السلام:طالع شدن نوری از مطلع ابدیت و جاودانگی که اشعه آن بنای توحید را روشن خواهد کرد. کمیل:مرا بیشتر بیاموز. علی علیه السلام:چراغ را خاموش کن چرا که خورشید طالع شده است. این مکالمه کوتاه یکی از مباحث کلاسیک در ادبیات عرفانی است که الهام بخش معنایی ژرف از بهجت می‏باشد و در عبارتی کوتاه و مبهم و آمیخته با اشراق آورده شده است.شناخت ماهیت این مکالمه نیازمند تفسیری گسترده است که ترجمه آن به انگلیسی، جز ایده‏ای محدود از غنای معنایی آن به دست نخواهد داد</w:t>
      </w:r>
      <w:r w:rsidRPr="00507054">
        <w:rPr>
          <w:rFonts w:ascii="Times New Roman" w:eastAsia="Times New Roman" w:hAnsi="Times New Roman" w:cs="Times New Roman"/>
          <w:sz w:val="24"/>
          <w:szCs w:val="24"/>
        </w:rPr>
        <w:t>.</w:t>
      </w:r>
    </w:p>
    <w:p w:rsidR="00507054" w:rsidRPr="00507054" w:rsidRDefault="00507054" w:rsidP="007148AF">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ابراهیم الکورانی نویسنده‏ای از یاد رفته است.شناخت او، از جمله برای آشنایی با نحوه ریشه دوانیدن اسلام در آچه اهمیتی بسیار دارد، چرا که وی مهمترین منبع حیات فکری آچه در قرن هفدهم میلادی بوده است.نفوذ شخصیت، دانش و تقوای کورانی را می‏توان در چهره شاگرد و همکار بعدی‏اش، عبد الرئوف مشاهده نمود، مضافا این که رابطه این استاد و شاگرد ابعاد و سیعتری را نیز دربردارد.روی هم رفته این نخستین نمونه ثبت شده تاریخی از چنین رابطه‏ای میان یک دانشمند جاوی(در این مورد آچه‏ای)با یک عالم خاورمیانه‏ای است.ولی اهمیت این رابطه منحصر به این جنبه نمی‏باشد. در واقع با مطالعه آثار و افکار عبد الرئوف است که توجه ما به سوی شخصیت ابراهیم الکورانی، یعنی یکی از دانشمندان برجسته آن عصر و شاید آخرین شارح بزرگ مکتب ابن عربی، جلب می‏شود.این مورد، نمونه‏ای گویا برای روشی است که در آن مطالعه و</w:t>
      </w:r>
      <w:r w:rsidR="007148AF">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بررسی وقایع مناطق واقع در حاشیه جهان اسلام، می‏تواند روشنگر تحولات سرزمین اصلی اسلام باشد.نکته بعدی آن است که کسی همچون کورانی، علاوه بر توجه به مسائل طلاب هندی، مراکشی، مصری و سوری خود؛می‏باید تعلق خاطری نیز نسبت به شاگردان جاوی خویش داشته باشد؛که تعدادشان کم نبوده، اگر چه از آن میان تا کنون تنها عبد الرئوف به اسم شناخته شده است.نکته مهم دیگر این واقعیت است که ابراهیم الکورانی مهمترین اثر خود، یعنی اتحاف الذکی را، به در خواست یک فرد جاوی و به قصد حل مسائل مذهبی آچه می‏نویسد هر چند که در آن اثر، صرف نظر از این دغدغه خاطر نسبت به یک مساله مشخص، خود را به تمامی جهان اسلام معرفی می‏کند. موضوع قابل اعتنا دیگر همین است که رساله‏ای مذهبی که در هند نوشته شده و به آچه فرستاده می‏شود، به لحاظ شهرت آن در آچه و استفاده گروههای رقیب یکدیگر از آن، در خاورمیانه نیز معروف می‏شود و ابراهیم الکورانی را وادار به نوشتن شرحی بر آن می‏کند.احتمالا به خاطر همین اقدام کورانی بوده که دو دانشمند دیگر خاورمیانه‏ای نیز شرحی بر این رساله می‏نویسند.این دو تن عبارتند از عبد الغنی النابلسی(در گذشته 1731 م)و السویدی(در گذشته 1760 م).النابلسی همان کسی است که یکی از آثارش در پالمبانگ 28 شناخته شده بود و توسط کی ماس فخر الدین به زبان ملایو ترجمه می‏گردد.النابلسی نیز شخصیت عجیبی است.صرف نظر از تفسیری که بر دیوان ابن الفارض دارد، شهرت او بیشتر به خاطر فتوای معروفش در جواز استعمال تنباکوست و نظر او در این مورد که دانشمندان همچون گاوهایی هستند که در طویله خود بی‏دلیل به یکدیگر شاخ می‏زنند</w:t>
      </w:r>
      <w:r w:rsidRPr="00507054">
        <w:rPr>
          <w:rFonts w:ascii="Times New Roman" w:eastAsia="Times New Roman" w:hAnsi="Times New Roman" w:cs="Times New Roman"/>
          <w:sz w:val="24"/>
          <w:szCs w:val="24"/>
        </w:rPr>
        <w:t>.</w:t>
      </w:r>
    </w:p>
    <w:p w:rsidR="00507054" w:rsidRPr="00507054" w:rsidRDefault="00507054" w:rsidP="007148AF">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ابراهیم الکورانی مردی بزرگ و بلند نظر بود، هر چند که بیشتر یک متفکر بود تا شاعر.دقیقا همانطور که غزالی با افزودن بعدی عرفانی به اسلام، باعث تجدید حیات معنویت اسلام شد، کورانی نیز تلاش کرد که نتایج تخیلات سرشار ابن عربی را انتظام بخشد و نشان دهد که این تعالیم با عمیق‏ترین اشراقات اسلامی تطابق دارند.او به دنبال آن بود که ضمن پرهیز از شیوه‏های سنّتی تدافعی رایج در سنّت مدرسی اشعریت، که‏</w:t>
      </w:r>
      <w:r w:rsidR="007148AF">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بیشتر معطوف به دفاع از اسلام بود تا کشف غنای آن؛راه نوینی را برای نیل به بصیرتهای تازه بگشاید.او تلاش کرد که این کار را از طریق علوم سنّتی اسلامی، همراه با ابراز احترامی عمیق نسبت به فقه که غنای حکمت الهی را در آن می‏دید، به انجام رساند.او همان کسی بود که در آچه به منزله یکی از اولیاء بزرگ تلقی می‏شد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کورانی و عبد الرئوف رفیقان همدلی بودند که مطالعه در موردشان ما را به این واقعیت رهنمون می‏شود که اطلاع ما از نحوه ورود اسلام به این بخش از جهان چه مقدار اندک است و دستیابی به این تاریخ، که ریشه‏های عمیق در سوماترا دارد، چه عرصه غنی و دشواری را در پیش روی ما می‏نهد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07054">
        <w:rPr>
          <w:rFonts w:ascii="Times New Roman" w:eastAsia="Times New Roman" w:hAnsi="Times New Roman" w:cs="Times New Roman"/>
          <w:b/>
          <w:bCs/>
          <w:sz w:val="24"/>
          <w:szCs w:val="24"/>
          <w:rtl/>
        </w:rPr>
        <w:lastRenderedPageBreak/>
        <w:t>پی نوشت‏ها و مآخذ</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(1).</w:t>
      </w:r>
      <w:r w:rsidRPr="00507054">
        <w:rPr>
          <w:rFonts w:ascii="Times New Roman" w:eastAsia="Times New Roman" w:hAnsi="Times New Roman" w:cs="Times New Roman"/>
          <w:sz w:val="24"/>
          <w:szCs w:val="24"/>
          <w:rtl/>
        </w:rPr>
        <w:t>تقدیر علی شهبانا دو دوره را در تاریخ اندونزی تفکیک می‏کند، دوره ما قبل اندونزی و دوره اندونزیایی که از اوایل قرن فعلی، با گسترش تمایلات وحدت طلبانه در میان مردم ساکن این جزایر آغاز شده و سرانجام منتهی به اعلام استقلال کشور اندونزی در سال 1945 م می‏شود.تا پیش از قرن حاضر و قبل از تعیین نام«اندونزی</w:t>
      </w:r>
      <w:proofErr w:type="gramStart"/>
      <w:r w:rsidRPr="00507054">
        <w:rPr>
          <w:rFonts w:ascii="Times New Roman" w:eastAsia="Times New Roman" w:hAnsi="Times New Roman" w:cs="Times New Roman"/>
          <w:sz w:val="24"/>
          <w:szCs w:val="24"/>
          <w:rtl/>
        </w:rPr>
        <w:t>»(</w:t>
      </w:r>
      <w:proofErr w:type="gramEnd"/>
      <w:r w:rsidRPr="00507054">
        <w:rPr>
          <w:rFonts w:ascii="Times New Roman" w:eastAsia="Times New Roman" w:hAnsi="Times New Roman" w:cs="Times New Roman"/>
          <w:sz w:val="24"/>
          <w:szCs w:val="24"/>
          <w:rtl/>
        </w:rPr>
        <w:t>به معنای جزایر هند)، اسامی مختلفی به این جزایر اطلاق می‏شد همچون جزایر هند، جزایر ادویه، جزایر شرق هند و یا جزایر هند شرقی هلند.م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(2).</w:t>
      </w:r>
      <w:proofErr w:type="gramStart"/>
      <w:r w:rsidRPr="00507054">
        <w:rPr>
          <w:rFonts w:ascii="Times New Roman" w:eastAsia="Times New Roman" w:hAnsi="Times New Roman" w:cs="Times New Roman"/>
          <w:sz w:val="24"/>
          <w:szCs w:val="24"/>
          <w:rtl/>
        </w:rPr>
        <w:t>جاوه(</w:t>
      </w:r>
      <w:proofErr w:type="gramEnd"/>
      <w:r w:rsidRPr="00507054">
        <w:rPr>
          <w:rFonts w:ascii="Times New Roman" w:eastAsia="Times New Roman" w:hAnsi="Times New Roman" w:cs="Times New Roman"/>
          <w:sz w:val="24"/>
          <w:szCs w:val="24"/>
          <w:rtl/>
        </w:rPr>
        <w:t>مهمترین جزیره اندونزی)و مالاکا(واقع در مالزی کنونی)، در گذشته مقر دو حکومت مهم اسلامی در منطقه جنوب شرقی آسیا بوده‏اند.م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(3).</w:t>
      </w:r>
      <w:r w:rsidRPr="00507054">
        <w:rPr>
          <w:rFonts w:ascii="Times New Roman" w:eastAsia="Times New Roman" w:hAnsi="Times New Roman" w:cs="Times New Roman"/>
          <w:sz w:val="24"/>
          <w:szCs w:val="24"/>
          <w:rtl/>
        </w:rPr>
        <w:t>اکنون به غیر از مالاکا که در مالزی واقع است، بقیه مناطق نام برده شده جزو اندونزی هستند.م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(4).</w:t>
      </w:r>
      <w:r w:rsidRPr="00507054">
        <w:rPr>
          <w:rFonts w:ascii="Times New Roman" w:eastAsia="Times New Roman" w:hAnsi="Times New Roman" w:cs="Times New Roman"/>
          <w:sz w:val="24"/>
          <w:szCs w:val="24"/>
          <w:rtl/>
        </w:rPr>
        <w:t>حمزه پنسوری(یا فنصوری)عالم صوفی مسلک آچه و پیرو طریقت قادریه که سفرهایی به خاورمیانه و خاور دور داشته است.وی آشنا به زبانهای ملایو، عربی و فارسی بوده و از مکتب وحدت وجود محیی الدین‏[ابز عربی‏]و جامی تاثیر پذیرفته بود.او معروف به«محیی الدین ملدیوها»و صاحب کتاب اسرار العارفین و شراب العاشقین است.م</w:t>
      </w:r>
      <w:r w:rsidRPr="00507054">
        <w:rPr>
          <w:rFonts w:ascii="Times New Roman" w:eastAsia="Times New Roman" w:hAnsi="Times New Roman" w:cs="Times New Roman"/>
          <w:sz w:val="24"/>
          <w:szCs w:val="24"/>
        </w:rPr>
        <w:t>.</w:t>
      </w:r>
    </w:p>
    <w:p w:rsidR="00507054" w:rsidRPr="00507054" w:rsidRDefault="00507054" w:rsidP="007148AF">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(5).</w:t>
      </w:r>
      <w:r w:rsidRPr="00507054">
        <w:rPr>
          <w:rFonts w:ascii="Times New Roman" w:eastAsia="Times New Roman" w:hAnsi="Times New Roman" w:cs="Times New Roman"/>
          <w:sz w:val="24"/>
          <w:szCs w:val="24"/>
          <w:rtl/>
        </w:rPr>
        <w:t>شمس الدین صوفی آچه‏ای که تحت تاثیر جنید بغدادی بوده است.کتاب معروف او نور الدقائق نام‏</w:t>
      </w:r>
      <w:r w:rsidR="007148AF">
        <w:rPr>
          <w:rFonts w:ascii="Times New Roman" w:eastAsia="Times New Roman" w:hAnsi="Times New Roman" w:cs="Times New Roman" w:hint="cs"/>
          <w:sz w:val="24"/>
          <w:szCs w:val="24"/>
          <w:rtl/>
          <w:lang w:bidi="fa-IR"/>
        </w:rPr>
        <w:t xml:space="preserve"> </w:t>
      </w:r>
      <w:r w:rsidRPr="00507054">
        <w:rPr>
          <w:rFonts w:ascii="Times New Roman" w:eastAsia="Times New Roman" w:hAnsi="Times New Roman" w:cs="Times New Roman"/>
          <w:sz w:val="24"/>
          <w:szCs w:val="24"/>
          <w:rtl/>
        </w:rPr>
        <w:t>دارد.م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(6).</w:t>
      </w:r>
      <w:r w:rsidRPr="00507054">
        <w:rPr>
          <w:rFonts w:ascii="Times New Roman" w:eastAsia="Times New Roman" w:hAnsi="Times New Roman" w:cs="Times New Roman"/>
          <w:sz w:val="24"/>
          <w:szCs w:val="24"/>
          <w:rtl/>
        </w:rPr>
        <w:t xml:space="preserve">نور الدین الرّانیری(در گذشته 1666 م)از اهالی گجرات هند که در فاصله سالهای </w:t>
      </w:r>
      <w:r w:rsidRPr="00507054">
        <w:rPr>
          <w:rFonts w:ascii="Times New Roman" w:eastAsia="Times New Roman" w:hAnsi="Times New Roman" w:cs="Times New Roman"/>
          <w:sz w:val="24"/>
          <w:szCs w:val="24"/>
        </w:rPr>
        <w:t xml:space="preserve">1637 </w:t>
      </w:r>
      <w:r w:rsidRPr="00507054">
        <w:rPr>
          <w:rFonts w:ascii="Times New Roman" w:eastAsia="Times New Roman" w:hAnsi="Times New Roman" w:cs="Times New Roman"/>
          <w:sz w:val="24"/>
          <w:szCs w:val="24"/>
          <w:rtl/>
        </w:rPr>
        <w:t>تا 1644 م به آچه آمده و تحت حمایت سلطان اسکندر ثانی(1636-1641 م)به مخالفت با تعالیم حمزه منصوری و شمس الدین می‏پردازد.وی نویسنده‏ای توانمند و پر کار بود و تالیفات مهمی از خود بجای نهاد منجمله بستان السلاطین(دائرة المعارفی در هفت جلد بر مبنای منابع فارسی در شرح خلقت و تاریخ انبیا و سلاطین عادل و ظالم و روحانیون و رجال معروف)، حجت الصدیق لدفع الزندیق و تبیان فی معرفة الادیان.م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(7).</w:t>
      </w:r>
      <w:r w:rsidRPr="00507054">
        <w:rPr>
          <w:rFonts w:ascii="Times New Roman" w:eastAsia="Times New Roman" w:hAnsi="Times New Roman" w:cs="Times New Roman"/>
          <w:sz w:val="24"/>
          <w:szCs w:val="24"/>
          <w:rtl/>
        </w:rPr>
        <w:t>جاوی‏</w:t>
      </w:r>
      <w:r w:rsidRPr="00507054">
        <w:rPr>
          <w:rFonts w:ascii="Times New Roman" w:eastAsia="Times New Roman" w:hAnsi="Times New Roman" w:cs="Times New Roman"/>
          <w:sz w:val="24"/>
          <w:szCs w:val="24"/>
        </w:rPr>
        <w:t xml:space="preserve"> (I W A J) </w:t>
      </w:r>
      <w:r w:rsidRPr="00507054">
        <w:rPr>
          <w:rFonts w:ascii="Times New Roman" w:eastAsia="Times New Roman" w:hAnsi="Times New Roman" w:cs="Times New Roman"/>
          <w:sz w:val="24"/>
          <w:szCs w:val="24"/>
          <w:rtl/>
        </w:rPr>
        <w:t>نامی است که اعراب به مردم ساکن جزایر جنوب شرقی آسیا اطلاق می‏کردند.م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(8). </w:t>
      </w:r>
      <w:proofErr w:type="spellStart"/>
      <w:r w:rsidRPr="00507054">
        <w:rPr>
          <w:rFonts w:ascii="Times New Roman" w:eastAsia="Times New Roman" w:hAnsi="Times New Roman" w:cs="Times New Roman"/>
          <w:sz w:val="24"/>
          <w:szCs w:val="24"/>
        </w:rPr>
        <w:t>cilhaume</w:t>
      </w:r>
      <w:proofErr w:type="gramStart"/>
      <w:r w:rsidRPr="00507054">
        <w:rPr>
          <w:rFonts w:ascii="Times New Roman" w:eastAsia="Times New Roman" w:hAnsi="Times New Roman" w:cs="Times New Roman"/>
          <w:sz w:val="24"/>
          <w:szCs w:val="24"/>
        </w:rPr>
        <w:t>,A.in:Bulletin</w:t>
      </w:r>
      <w:proofErr w:type="spellEnd"/>
      <w:proofErr w:type="gramEnd"/>
      <w:r w:rsidRPr="00507054">
        <w:rPr>
          <w:rFonts w:ascii="Times New Roman" w:eastAsia="Times New Roman" w:hAnsi="Times New Roman" w:cs="Times New Roman"/>
          <w:sz w:val="24"/>
          <w:szCs w:val="24"/>
        </w:rPr>
        <w:t xml:space="preserve"> of the School of Oriental and African studies. 1957</w:t>
      </w:r>
      <w:proofErr w:type="gramStart"/>
      <w:r w:rsidRPr="00507054">
        <w:rPr>
          <w:rFonts w:ascii="Times New Roman" w:eastAsia="Times New Roman" w:hAnsi="Times New Roman" w:cs="Times New Roman"/>
          <w:sz w:val="24"/>
          <w:szCs w:val="24"/>
        </w:rPr>
        <w:t>,pp.291</w:t>
      </w:r>
      <w:proofErr w:type="gramEnd"/>
      <w:r w:rsidRPr="00507054">
        <w:rPr>
          <w:rFonts w:ascii="Times New Roman" w:eastAsia="Times New Roman" w:hAnsi="Times New Roman" w:cs="Times New Roman"/>
          <w:sz w:val="24"/>
          <w:szCs w:val="24"/>
        </w:rPr>
        <w:t xml:space="preserve">-303.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(9). </w:t>
      </w:r>
      <w:proofErr w:type="spellStart"/>
      <w:r w:rsidRPr="00507054">
        <w:rPr>
          <w:rFonts w:ascii="Times New Roman" w:eastAsia="Times New Roman" w:hAnsi="Times New Roman" w:cs="Times New Roman"/>
          <w:sz w:val="24"/>
          <w:szCs w:val="24"/>
        </w:rPr>
        <w:t>Sharazur</w:t>
      </w:r>
      <w:proofErr w:type="spellEnd"/>
      <w:r w:rsidRPr="00507054">
        <w:rPr>
          <w:rFonts w:ascii="Times New Roman" w:eastAsia="Times New Roman" w:hAnsi="Times New Roman" w:cs="Times New Roman"/>
          <w:sz w:val="24"/>
          <w:szCs w:val="24"/>
        </w:rPr>
        <w:t xml:space="preserve">.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(10). </w:t>
      </w:r>
      <w:proofErr w:type="spellStart"/>
      <w:r w:rsidRPr="00507054">
        <w:rPr>
          <w:rFonts w:ascii="Times New Roman" w:eastAsia="Times New Roman" w:hAnsi="Times New Roman" w:cs="Times New Roman"/>
          <w:sz w:val="24"/>
          <w:szCs w:val="24"/>
        </w:rPr>
        <w:t>Ibn</w:t>
      </w:r>
      <w:proofErr w:type="spellEnd"/>
      <w:r w:rsidRPr="00507054">
        <w:rPr>
          <w:rFonts w:ascii="Times New Roman" w:eastAsia="Times New Roman" w:hAnsi="Times New Roman" w:cs="Times New Roman"/>
          <w:sz w:val="24"/>
          <w:szCs w:val="24"/>
        </w:rPr>
        <w:t xml:space="preserve"> al-</w:t>
      </w:r>
      <w:proofErr w:type="spellStart"/>
      <w:r w:rsidRPr="00507054">
        <w:rPr>
          <w:rFonts w:ascii="Times New Roman" w:eastAsia="Times New Roman" w:hAnsi="Times New Roman" w:cs="Times New Roman"/>
          <w:sz w:val="24"/>
          <w:szCs w:val="24"/>
        </w:rPr>
        <w:t>Tayyib.Nashr</w:t>
      </w:r>
      <w:proofErr w:type="spellEnd"/>
      <w:r w:rsidRPr="00507054">
        <w:rPr>
          <w:rFonts w:ascii="Times New Roman" w:eastAsia="Times New Roman" w:hAnsi="Times New Roman" w:cs="Times New Roman"/>
          <w:sz w:val="24"/>
          <w:szCs w:val="24"/>
        </w:rPr>
        <w:t xml:space="preserve"> al-mathani.al-</w:t>
      </w:r>
      <w:proofErr w:type="spellStart"/>
      <w:r w:rsidRPr="00507054">
        <w:rPr>
          <w:rFonts w:ascii="Times New Roman" w:eastAsia="Times New Roman" w:hAnsi="Times New Roman" w:cs="Times New Roman"/>
          <w:sz w:val="24"/>
          <w:szCs w:val="24"/>
        </w:rPr>
        <w:t>Jazair</w:t>
      </w:r>
      <w:proofErr w:type="spellEnd"/>
      <w:r w:rsidRPr="00507054">
        <w:rPr>
          <w:rFonts w:ascii="Times New Roman" w:eastAsia="Times New Roman" w:hAnsi="Times New Roman" w:cs="Times New Roman"/>
          <w:sz w:val="24"/>
          <w:szCs w:val="24"/>
        </w:rPr>
        <w:t xml:space="preserve"> 1310.Vol.II.PP.130-137.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(11). Fez.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(12). al-</w:t>
      </w:r>
      <w:proofErr w:type="spellStart"/>
      <w:r w:rsidRPr="00507054">
        <w:rPr>
          <w:rFonts w:ascii="Times New Roman" w:eastAsia="Times New Roman" w:hAnsi="Times New Roman" w:cs="Times New Roman"/>
          <w:sz w:val="24"/>
          <w:szCs w:val="24"/>
        </w:rPr>
        <w:t>Afrani</w:t>
      </w:r>
      <w:proofErr w:type="spellEnd"/>
      <w:r w:rsidRPr="00507054">
        <w:rPr>
          <w:rFonts w:ascii="Times New Roman" w:eastAsia="Times New Roman" w:hAnsi="Times New Roman" w:cs="Times New Roman"/>
          <w:sz w:val="24"/>
          <w:szCs w:val="24"/>
        </w:rPr>
        <w:t xml:space="preserve"> al-</w:t>
      </w:r>
      <w:proofErr w:type="spellStart"/>
      <w:r w:rsidRPr="00507054">
        <w:rPr>
          <w:rFonts w:ascii="Times New Roman" w:eastAsia="Times New Roman" w:hAnsi="Times New Roman" w:cs="Times New Roman"/>
          <w:sz w:val="24"/>
          <w:szCs w:val="24"/>
        </w:rPr>
        <w:t>Marakishi.Tabaqat</w:t>
      </w:r>
      <w:proofErr w:type="spellEnd"/>
      <w:r w:rsidRPr="00507054">
        <w:rPr>
          <w:rFonts w:ascii="Times New Roman" w:eastAsia="Times New Roman" w:hAnsi="Times New Roman" w:cs="Times New Roman"/>
          <w:sz w:val="24"/>
          <w:szCs w:val="24"/>
        </w:rPr>
        <w:t xml:space="preserve"> al-Sulaha.n.d.PP.210-211.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(13). Muhammad </w:t>
      </w:r>
      <w:proofErr w:type="spellStart"/>
      <w:r w:rsidRPr="00507054">
        <w:rPr>
          <w:rFonts w:ascii="Times New Roman" w:eastAsia="Times New Roman" w:hAnsi="Times New Roman" w:cs="Times New Roman"/>
          <w:sz w:val="24"/>
          <w:szCs w:val="24"/>
        </w:rPr>
        <w:t>Sadiq</w:t>
      </w:r>
      <w:proofErr w:type="spell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khak</w:t>
      </w:r>
      <w:proofErr w:type="spellEnd"/>
      <w:r w:rsidRPr="00507054">
        <w:rPr>
          <w:rFonts w:ascii="Times New Roman" w:eastAsia="Times New Roman" w:hAnsi="Times New Roman" w:cs="Times New Roman"/>
          <w:sz w:val="24"/>
          <w:szCs w:val="24"/>
        </w:rPr>
        <w:t xml:space="preserve"> </w:t>
      </w:r>
      <w:proofErr w:type="spellStart"/>
      <w:r w:rsidRPr="00507054">
        <w:rPr>
          <w:rFonts w:ascii="Times New Roman" w:eastAsia="Times New Roman" w:hAnsi="Times New Roman" w:cs="Times New Roman"/>
          <w:sz w:val="24"/>
          <w:szCs w:val="24"/>
        </w:rPr>
        <w:t>Bahadur</w:t>
      </w:r>
      <w:proofErr w:type="spellEnd"/>
      <w:r w:rsidRPr="00507054">
        <w:rPr>
          <w:rFonts w:ascii="Times New Roman" w:eastAsia="Times New Roman" w:hAnsi="Times New Roman" w:cs="Times New Roman"/>
          <w:sz w:val="24"/>
          <w:szCs w:val="24"/>
        </w:rPr>
        <w:t xml:space="preserve"> al-</w:t>
      </w:r>
      <w:proofErr w:type="spellStart"/>
      <w:r w:rsidRPr="00507054">
        <w:rPr>
          <w:rFonts w:ascii="Times New Roman" w:eastAsia="Times New Roman" w:hAnsi="Times New Roman" w:cs="Times New Roman"/>
          <w:sz w:val="24"/>
          <w:szCs w:val="24"/>
        </w:rPr>
        <w:t>Husayni.Abjad</w:t>
      </w:r>
      <w:proofErr w:type="spellEnd"/>
      <w:r w:rsidRPr="00507054">
        <w:rPr>
          <w:rFonts w:ascii="Times New Roman" w:eastAsia="Times New Roman" w:hAnsi="Times New Roman" w:cs="Times New Roman"/>
          <w:sz w:val="24"/>
          <w:szCs w:val="24"/>
        </w:rPr>
        <w:t xml:space="preserve"> al-ulum.India</w:t>
      </w:r>
      <w:proofErr w:type="gramStart"/>
      <w:r w:rsidRPr="00507054">
        <w:rPr>
          <w:rFonts w:ascii="Times New Roman" w:eastAsia="Times New Roman" w:hAnsi="Times New Roman" w:cs="Times New Roman"/>
          <w:sz w:val="24"/>
          <w:szCs w:val="24"/>
        </w:rPr>
        <w:t>,1296.p.846</w:t>
      </w:r>
      <w:proofErr w:type="gramEnd"/>
      <w:r w:rsidRPr="00507054">
        <w:rPr>
          <w:rFonts w:ascii="Times New Roman" w:eastAsia="Times New Roman" w:hAnsi="Times New Roman" w:cs="Times New Roman"/>
          <w:sz w:val="24"/>
          <w:szCs w:val="24"/>
        </w:rPr>
        <w:t xml:space="preserve">.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(14). </w:t>
      </w:r>
      <w:proofErr w:type="spellStart"/>
      <w:r w:rsidRPr="00507054">
        <w:rPr>
          <w:rFonts w:ascii="Times New Roman" w:eastAsia="Times New Roman" w:hAnsi="Times New Roman" w:cs="Times New Roman"/>
          <w:sz w:val="24"/>
          <w:szCs w:val="24"/>
        </w:rPr>
        <w:t>Johns</w:t>
      </w:r>
      <w:proofErr w:type="gramStart"/>
      <w:r w:rsidRPr="00507054">
        <w:rPr>
          <w:rFonts w:ascii="Times New Roman" w:eastAsia="Times New Roman" w:hAnsi="Times New Roman" w:cs="Times New Roman"/>
          <w:sz w:val="24"/>
          <w:szCs w:val="24"/>
        </w:rPr>
        <w:t>,A.H</w:t>
      </w:r>
      <w:proofErr w:type="spellEnd"/>
      <w:proofErr w:type="gramEnd"/>
      <w:r w:rsidRPr="00507054">
        <w:rPr>
          <w:rFonts w:ascii="Times New Roman" w:eastAsia="Times New Roman" w:hAnsi="Times New Roman" w:cs="Times New Roman"/>
          <w:sz w:val="24"/>
          <w:szCs w:val="24"/>
        </w:rPr>
        <w:t>.)</w:t>
      </w:r>
      <w:proofErr w:type="spellStart"/>
      <w:proofErr w:type="gramStart"/>
      <w:r w:rsidRPr="00507054">
        <w:rPr>
          <w:rFonts w:ascii="Times New Roman" w:eastAsia="Times New Roman" w:hAnsi="Times New Roman" w:cs="Times New Roman"/>
          <w:sz w:val="24"/>
          <w:szCs w:val="24"/>
        </w:rPr>
        <w:t>ed</w:t>
      </w:r>
      <w:proofErr w:type="spellEnd"/>
      <w:r w:rsidRPr="00507054">
        <w:rPr>
          <w:rFonts w:ascii="Times New Roman" w:eastAsia="Times New Roman" w:hAnsi="Times New Roman" w:cs="Times New Roman"/>
          <w:sz w:val="24"/>
          <w:szCs w:val="24"/>
        </w:rPr>
        <w:t>(</w:t>
      </w:r>
      <w:proofErr w:type="gramEnd"/>
      <w:r w:rsidRPr="00507054">
        <w:rPr>
          <w:rFonts w:ascii="Times New Roman" w:eastAsia="Times New Roman" w:hAnsi="Times New Roman" w:cs="Times New Roman"/>
          <w:sz w:val="24"/>
          <w:szCs w:val="24"/>
        </w:rPr>
        <w:t xml:space="preserve">.The Gift Addressed to the spirit of </w:t>
      </w:r>
      <w:proofErr w:type="spellStart"/>
      <w:r w:rsidRPr="00507054">
        <w:rPr>
          <w:rFonts w:ascii="Times New Roman" w:eastAsia="Times New Roman" w:hAnsi="Times New Roman" w:cs="Times New Roman"/>
          <w:sz w:val="24"/>
          <w:szCs w:val="24"/>
        </w:rPr>
        <w:t>prophel.Oriental</w:t>
      </w:r>
      <w:proofErr w:type="spellEnd"/>
      <w:r w:rsidRPr="00507054">
        <w:rPr>
          <w:rFonts w:ascii="Times New Roman" w:eastAsia="Times New Roman" w:hAnsi="Times New Roman" w:cs="Times New Roman"/>
          <w:sz w:val="24"/>
          <w:szCs w:val="24"/>
        </w:rPr>
        <w:t xml:space="preserve"> Monograph series.Nol.Canberra.1965.pp.129-137. </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 xml:space="preserve">(15). Ms.Or.Leiden.7050. </w:t>
      </w:r>
      <w:r w:rsidRPr="00507054">
        <w:rPr>
          <w:rFonts w:ascii="Times New Roman" w:eastAsia="Times New Roman" w:hAnsi="Times New Roman" w:cs="Times New Roman"/>
          <w:sz w:val="24"/>
          <w:szCs w:val="24"/>
          <w:rtl/>
        </w:rPr>
        <w:t>نویسنده مقاله(جونز)در تدارک چاپ انتقادی و بررسی این رساله، با کمک دکتر نقاح محمود الغنیمی، استاد دانشگاه الازهر قاهره، می‏باشد</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(16).</w:t>
      </w:r>
      <w:r w:rsidRPr="00507054">
        <w:rPr>
          <w:rFonts w:ascii="Times New Roman" w:eastAsia="Times New Roman" w:hAnsi="Times New Roman" w:cs="Times New Roman"/>
          <w:sz w:val="24"/>
          <w:szCs w:val="24"/>
          <w:rtl/>
        </w:rPr>
        <w:t>نسخه خطی، دارالکتب قاهره، تاریخ 1093 ق، برگه 166-167</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lastRenderedPageBreak/>
        <w:t>(17).</w:t>
      </w:r>
      <w:r w:rsidRPr="00507054">
        <w:rPr>
          <w:rFonts w:ascii="Times New Roman" w:eastAsia="Times New Roman" w:hAnsi="Times New Roman" w:cs="Times New Roman"/>
          <w:sz w:val="24"/>
          <w:szCs w:val="24"/>
          <w:rtl/>
        </w:rPr>
        <w:t>سوره الرحمن، آیات 19 و 20</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(18).</w:t>
      </w:r>
      <w:r w:rsidRPr="00507054">
        <w:rPr>
          <w:rFonts w:ascii="Times New Roman" w:eastAsia="Times New Roman" w:hAnsi="Times New Roman" w:cs="Times New Roman"/>
          <w:sz w:val="24"/>
          <w:szCs w:val="24"/>
          <w:rtl/>
        </w:rPr>
        <w:t>سوره طه، آیات 25 تا 28</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(19).</w:t>
      </w:r>
      <w:r w:rsidRPr="00507054">
        <w:rPr>
          <w:rFonts w:ascii="Times New Roman" w:eastAsia="Times New Roman" w:hAnsi="Times New Roman" w:cs="Times New Roman"/>
          <w:sz w:val="24"/>
          <w:szCs w:val="24"/>
          <w:rtl/>
        </w:rPr>
        <w:t>سوره شعرا، آیات 83 و 84</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(20).</w:t>
      </w:r>
      <w:r w:rsidRPr="00507054">
        <w:rPr>
          <w:rFonts w:ascii="Times New Roman" w:eastAsia="Times New Roman" w:hAnsi="Times New Roman" w:cs="Times New Roman"/>
          <w:sz w:val="24"/>
          <w:szCs w:val="24"/>
          <w:rtl/>
        </w:rPr>
        <w:t xml:space="preserve">اتحاف الذکی نسخه اصلی دست نویس، </w:t>
      </w:r>
      <w:proofErr w:type="gramStart"/>
      <w:r w:rsidRPr="00507054">
        <w:rPr>
          <w:rFonts w:ascii="Times New Roman" w:eastAsia="Times New Roman" w:hAnsi="Times New Roman" w:cs="Times New Roman"/>
          <w:sz w:val="24"/>
          <w:szCs w:val="24"/>
          <w:rtl/>
        </w:rPr>
        <w:t>لیدن(</w:t>
      </w:r>
      <w:proofErr w:type="gramEnd"/>
      <w:r w:rsidRPr="00507054">
        <w:rPr>
          <w:rFonts w:ascii="Times New Roman" w:eastAsia="Times New Roman" w:hAnsi="Times New Roman" w:cs="Times New Roman"/>
          <w:sz w:val="24"/>
          <w:szCs w:val="24"/>
          <w:rtl/>
        </w:rPr>
        <w:t>هلند)شماره 7050</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Pr>
        <w:t>(21).</w:t>
      </w:r>
      <w:r w:rsidRPr="00507054">
        <w:rPr>
          <w:rFonts w:ascii="Times New Roman" w:eastAsia="Times New Roman" w:hAnsi="Times New Roman" w:cs="Times New Roman"/>
          <w:sz w:val="24"/>
          <w:szCs w:val="24"/>
          <w:rtl/>
        </w:rPr>
        <w:t>پالمبانگ، شهری واقع در جزیره سوماترای اندونزی است.م</w:t>
      </w:r>
      <w:r w:rsidRPr="00507054">
        <w:rPr>
          <w:rFonts w:ascii="Times New Roman" w:eastAsia="Times New Roman" w:hAnsi="Times New Roman" w:cs="Times New Roman"/>
          <w:sz w:val="24"/>
          <w:szCs w:val="24"/>
        </w:rPr>
        <w:t>.</w:t>
      </w:r>
    </w:p>
    <w:p w:rsidR="00507054" w:rsidRPr="00507054" w:rsidRDefault="00507054" w:rsidP="006844B8">
      <w:pPr>
        <w:bidi/>
        <w:spacing w:before="100" w:beforeAutospacing="1" w:after="100" w:afterAutospacing="1" w:line="240" w:lineRule="auto"/>
        <w:jc w:val="both"/>
        <w:rPr>
          <w:rFonts w:ascii="Times New Roman" w:eastAsia="Times New Roman" w:hAnsi="Times New Roman" w:cs="Times New Roman"/>
          <w:sz w:val="24"/>
          <w:szCs w:val="24"/>
        </w:rPr>
      </w:pPr>
      <w:r w:rsidRPr="00507054">
        <w:rPr>
          <w:rFonts w:ascii="Times New Roman" w:eastAsia="Times New Roman" w:hAnsi="Times New Roman" w:cs="Times New Roman"/>
          <w:sz w:val="24"/>
          <w:szCs w:val="24"/>
          <w:rtl/>
        </w:rPr>
        <w:t>پایان مقاله</w:t>
      </w:r>
    </w:p>
    <w:p w:rsidR="00CC05F3" w:rsidRDefault="00CC05F3" w:rsidP="006844B8">
      <w:pPr>
        <w:bidi/>
        <w:jc w:val="both"/>
      </w:pPr>
    </w:p>
    <w:sectPr w:rsidR="00CC05F3" w:rsidSect="00CC05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07054"/>
    <w:rsid w:val="00507054"/>
    <w:rsid w:val="006844B8"/>
    <w:rsid w:val="007148AF"/>
    <w:rsid w:val="00CC05F3"/>
    <w:rsid w:val="00F87C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F3"/>
  </w:style>
  <w:style w:type="paragraph" w:styleId="Heading3">
    <w:name w:val="heading 3"/>
    <w:basedOn w:val="Normal"/>
    <w:link w:val="Heading3Char"/>
    <w:uiPriority w:val="9"/>
    <w:qFormat/>
    <w:rsid w:val="005070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70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70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705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07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572186">
      <w:bodyDiv w:val="1"/>
      <w:marLeft w:val="0"/>
      <w:marRight w:val="0"/>
      <w:marTop w:val="0"/>
      <w:marBottom w:val="0"/>
      <w:divBdr>
        <w:top w:val="none" w:sz="0" w:space="0" w:color="auto"/>
        <w:left w:val="none" w:sz="0" w:space="0" w:color="auto"/>
        <w:bottom w:val="none" w:sz="0" w:space="0" w:color="auto"/>
        <w:right w:val="none" w:sz="0" w:space="0" w:color="auto"/>
      </w:divBdr>
      <w:divsChild>
        <w:div w:id="1855000391">
          <w:marLeft w:val="0"/>
          <w:marRight w:val="0"/>
          <w:marTop w:val="0"/>
          <w:marBottom w:val="0"/>
          <w:divBdr>
            <w:top w:val="none" w:sz="0" w:space="0" w:color="auto"/>
            <w:left w:val="none" w:sz="0" w:space="0" w:color="auto"/>
            <w:bottom w:val="none" w:sz="0" w:space="0" w:color="auto"/>
            <w:right w:val="none" w:sz="0" w:space="0" w:color="auto"/>
          </w:divBdr>
          <w:divsChild>
            <w:div w:id="1291741006">
              <w:marLeft w:val="0"/>
              <w:marRight w:val="0"/>
              <w:marTop w:val="0"/>
              <w:marBottom w:val="0"/>
              <w:divBdr>
                <w:top w:val="none" w:sz="0" w:space="0" w:color="auto"/>
                <w:left w:val="none" w:sz="0" w:space="0" w:color="auto"/>
                <w:bottom w:val="none" w:sz="0" w:space="0" w:color="auto"/>
                <w:right w:val="none" w:sz="0" w:space="0" w:color="auto"/>
              </w:divBdr>
              <w:divsChild>
                <w:div w:id="442699395">
                  <w:marLeft w:val="0"/>
                  <w:marRight w:val="0"/>
                  <w:marTop w:val="0"/>
                  <w:marBottom w:val="0"/>
                  <w:divBdr>
                    <w:top w:val="none" w:sz="0" w:space="0" w:color="auto"/>
                    <w:left w:val="none" w:sz="0" w:space="0" w:color="auto"/>
                    <w:bottom w:val="none" w:sz="0" w:space="0" w:color="auto"/>
                    <w:right w:val="none" w:sz="0" w:space="0" w:color="auto"/>
                  </w:divBdr>
                </w:div>
                <w:div w:id="1011685563">
                  <w:marLeft w:val="0"/>
                  <w:marRight w:val="0"/>
                  <w:marTop w:val="0"/>
                  <w:marBottom w:val="0"/>
                  <w:divBdr>
                    <w:top w:val="none" w:sz="0" w:space="0" w:color="auto"/>
                    <w:left w:val="none" w:sz="0" w:space="0" w:color="auto"/>
                    <w:bottom w:val="none" w:sz="0" w:space="0" w:color="auto"/>
                    <w:right w:val="none" w:sz="0" w:space="0" w:color="auto"/>
                  </w:divBdr>
                </w:div>
                <w:div w:id="1038317339">
                  <w:marLeft w:val="0"/>
                  <w:marRight w:val="0"/>
                  <w:marTop w:val="0"/>
                  <w:marBottom w:val="0"/>
                  <w:divBdr>
                    <w:top w:val="none" w:sz="0" w:space="0" w:color="auto"/>
                    <w:left w:val="none" w:sz="0" w:space="0" w:color="auto"/>
                    <w:bottom w:val="none" w:sz="0" w:space="0" w:color="auto"/>
                    <w:right w:val="none" w:sz="0" w:space="0" w:color="auto"/>
                  </w:divBdr>
                </w:div>
                <w:div w:id="1639340431">
                  <w:marLeft w:val="0"/>
                  <w:marRight w:val="0"/>
                  <w:marTop w:val="0"/>
                  <w:marBottom w:val="0"/>
                  <w:divBdr>
                    <w:top w:val="none" w:sz="0" w:space="0" w:color="auto"/>
                    <w:left w:val="none" w:sz="0" w:space="0" w:color="auto"/>
                    <w:bottom w:val="none" w:sz="0" w:space="0" w:color="auto"/>
                    <w:right w:val="none" w:sz="0" w:space="0" w:color="auto"/>
                  </w:divBdr>
                </w:div>
                <w:div w:id="1917395546">
                  <w:marLeft w:val="0"/>
                  <w:marRight w:val="0"/>
                  <w:marTop w:val="0"/>
                  <w:marBottom w:val="0"/>
                  <w:divBdr>
                    <w:top w:val="none" w:sz="0" w:space="0" w:color="auto"/>
                    <w:left w:val="none" w:sz="0" w:space="0" w:color="auto"/>
                    <w:bottom w:val="none" w:sz="0" w:space="0" w:color="auto"/>
                    <w:right w:val="none" w:sz="0" w:space="0" w:color="auto"/>
                  </w:divBdr>
                </w:div>
                <w:div w:id="1669795332">
                  <w:marLeft w:val="0"/>
                  <w:marRight w:val="0"/>
                  <w:marTop w:val="0"/>
                  <w:marBottom w:val="0"/>
                  <w:divBdr>
                    <w:top w:val="none" w:sz="0" w:space="0" w:color="auto"/>
                    <w:left w:val="none" w:sz="0" w:space="0" w:color="auto"/>
                    <w:bottom w:val="none" w:sz="0" w:space="0" w:color="auto"/>
                    <w:right w:val="none" w:sz="0" w:space="0" w:color="auto"/>
                  </w:divBdr>
                </w:div>
              </w:divsChild>
            </w:div>
            <w:div w:id="691762697">
              <w:marLeft w:val="0"/>
              <w:marRight w:val="0"/>
              <w:marTop w:val="0"/>
              <w:marBottom w:val="0"/>
              <w:divBdr>
                <w:top w:val="none" w:sz="0" w:space="0" w:color="auto"/>
                <w:left w:val="none" w:sz="0" w:space="0" w:color="auto"/>
                <w:bottom w:val="none" w:sz="0" w:space="0" w:color="auto"/>
                <w:right w:val="none" w:sz="0" w:space="0" w:color="auto"/>
              </w:divBdr>
              <w:divsChild>
                <w:div w:id="1050804372">
                  <w:marLeft w:val="0"/>
                  <w:marRight w:val="0"/>
                  <w:marTop w:val="0"/>
                  <w:marBottom w:val="0"/>
                  <w:divBdr>
                    <w:top w:val="none" w:sz="0" w:space="0" w:color="auto"/>
                    <w:left w:val="none" w:sz="0" w:space="0" w:color="auto"/>
                    <w:bottom w:val="none" w:sz="0" w:space="0" w:color="auto"/>
                    <w:right w:val="none" w:sz="0" w:space="0" w:color="auto"/>
                  </w:divBdr>
                </w:div>
              </w:divsChild>
            </w:div>
            <w:div w:id="220483075">
              <w:marLeft w:val="0"/>
              <w:marRight w:val="0"/>
              <w:marTop w:val="0"/>
              <w:marBottom w:val="0"/>
              <w:divBdr>
                <w:top w:val="none" w:sz="0" w:space="0" w:color="auto"/>
                <w:left w:val="none" w:sz="0" w:space="0" w:color="auto"/>
                <w:bottom w:val="none" w:sz="0" w:space="0" w:color="auto"/>
                <w:right w:val="none" w:sz="0" w:space="0" w:color="auto"/>
              </w:divBdr>
              <w:divsChild>
                <w:div w:id="1790660624">
                  <w:marLeft w:val="0"/>
                  <w:marRight w:val="0"/>
                  <w:marTop w:val="0"/>
                  <w:marBottom w:val="0"/>
                  <w:divBdr>
                    <w:top w:val="none" w:sz="0" w:space="0" w:color="auto"/>
                    <w:left w:val="none" w:sz="0" w:space="0" w:color="auto"/>
                    <w:bottom w:val="none" w:sz="0" w:space="0" w:color="auto"/>
                    <w:right w:val="none" w:sz="0" w:space="0" w:color="auto"/>
                  </w:divBdr>
                </w:div>
              </w:divsChild>
            </w:div>
            <w:div w:id="1550190252">
              <w:marLeft w:val="0"/>
              <w:marRight w:val="0"/>
              <w:marTop w:val="0"/>
              <w:marBottom w:val="0"/>
              <w:divBdr>
                <w:top w:val="none" w:sz="0" w:space="0" w:color="auto"/>
                <w:left w:val="none" w:sz="0" w:space="0" w:color="auto"/>
                <w:bottom w:val="none" w:sz="0" w:space="0" w:color="auto"/>
                <w:right w:val="none" w:sz="0" w:space="0" w:color="auto"/>
              </w:divBdr>
              <w:divsChild>
                <w:div w:id="1629775471">
                  <w:marLeft w:val="0"/>
                  <w:marRight w:val="0"/>
                  <w:marTop w:val="0"/>
                  <w:marBottom w:val="0"/>
                  <w:divBdr>
                    <w:top w:val="none" w:sz="0" w:space="0" w:color="auto"/>
                    <w:left w:val="none" w:sz="0" w:space="0" w:color="auto"/>
                    <w:bottom w:val="none" w:sz="0" w:space="0" w:color="auto"/>
                    <w:right w:val="none" w:sz="0" w:space="0" w:color="auto"/>
                  </w:divBdr>
                </w:div>
              </w:divsChild>
            </w:div>
            <w:div w:id="1273971328">
              <w:marLeft w:val="0"/>
              <w:marRight w:val="0"/>
              <w:marTop w:val="0"/>
              <w:marBottom w:val="0"/>
              <w:divBdr>
                <w:top w:val="none" w:sz="0" w:space="0" w:color="auto"/>
                <w:left w:val="none" w:sz="0" w:space="0" w:color="auto"/>
                <w:bottom w:val="none" w:sz="0" w:space="0" w:color="auto"/>
                <w:right w:val="none" w:sz="0" w:space="0" w:color="auto"/>
              </w:divBdr>
              <w:divsChild>
                <w:div w:id="1858039831">
                  <w:marLeft w:val="0"/>
                  <w:marRight w:val="0"/>
                  <w:marTop w:val="0"/>
                  <w:marBottom w:val="0"/>
                  <w:divBdr>
                    <w:top w:val="none" w:sz="0" w:space="0" w:color="auto"/>
                    <w:left w:val="none" w:sz="0" w:space="0" w:color="auto"/>
                    <w:bottom w:val="none" w:sz="0" w:space="0" w:color="auto"/>
                    <w:right w:val="none" w:sz="0" w:space="0" w:color="auto"/>
                  </w:divBdr>
                </w:div>
              </w:divsChild>
            </w:div>
            <w:div w:id="993603895">
              <w:marLeft w:val="0"/>
              <w:marRight w:val="0"/>
              <w:marTop w:val="0"/>
              <w:marBottom w:val="0"/>
              <w:divBdr>
                <w:top w:val="none" w:sz="0" w:space="0" w:color="auto"/>
                <w:left w:val="none" w:sz="0" w:space="0" w:color="auto"/>
                <w:bottom w:val="none" w:sz="0" w:space="0" w:color="auto"/>
                <w:right w:val="none" w:sz="0" w:space="0" w:color="auto"/>
              </w:divBdr>
              <w:divsChild>
                <w:div w:id="1019815573">
                  <w:marLeft w:val="0"/>
                  <w:marRight w:val="0"/>
                  <w:marTop w:val="0"/>
                  <w:marBottom w:val="0"/>
                  <w:divBdr>
                    <w:top w:val="none" w:sz="0" w:space="0" w:color="auto"/>
                    <w:left w:val="none" w:sz="0" w:space="0" w:color="auto"/>
                    <w:bottom w:val="none" w:sz="0" w:space="0" w:color="auto"/>
                    <w:right w:val="none" w:sz="0" w:space="0" w:color="auto"/>
                  </w:divBdr>
                </w:div>
              </w:divsChild>
            </w:div>
            <w:div w:id="1308515357">
              <w:marLeft w:val="0"/>
              <w:marRight w:val="0"/>
              <w:marTop w:val="0"/>
              <w:marBottom w:val="0"/>
              <w:divBdr>
                <w:top w:val="none" w:sz="0" w:space="0" w:color="auto"/>
                <w:left w:val="none" w:sz="0" w:space="0" w:color="auto"/>
                <w:bottom w:val="none" w:sz="0" w:space="0" w:color="auto"/>
                <w:right w:val="none" w:sz="0" w:space="0" w:color="auto"/>
              </w:divBdr>
              <w:divsChild>
                <w:div w:id="754667034">
                  <w:marLeft w:val="0"/>
                  <w:marRight w:val="0"/>
                  <w:marTop w:val="0"/>
                  <w:marBottom w:val="0"/>
                  <w:divBdr>
                    <w:top w:val="none" w:sz="0" w:space="0" w:color="auto"/>
                    <w:left w:val="none" w:sz="0" w:space="0" w:color="auto"/>
                    <w:bottom w:val="none" w:sz="0" w:space="0" w:color="auto"/>
                    <w:right w:val="none" w:sz="0" w:space="0" w:color="auto"/>
                  </w:divBdr>
                </w:div>
              </w:divsChild>
            </w:div>
            <w:div w:id="917903576">
              <w:marLeft w:val="0"/>
              <w:marRight w:val="0"/>
              <w:marTop w:val="0"/>
              <w:marBottom w:val="0"/>
              <w:divBdr>
                <w:top w:val="none" w:sz="0" w:space="0" w:color="auto"/>
                <w:left w:val="none" w:sz="0" w:space="0" w:color="auto"/>
                <w:bottom w:val="none" w:sz="0" w:space="0" w:color="auto"/>
                <w:right w:val="none" w:sz="0" w:space="0" w:color="auto"/>
              </w:divBdr>
              <w:divsChild>
                <w:div w:id="1744986717">
                  <w:marLeft w:val="0"/>
                  <w:marRight w:val="0"/>
                  <w:marTop w:val="0"/>
                  <w:marBottom w:val="0"/>
                  <w:divBdr>
                    <w:top w:val="none" w:sz="0" w:space="0" w:color="auto"/>
                    <w:left w:val="none" w:sz="0" w:space="0" w:color="auto"/>
                    <w:bottom w:val="none" w:sz="0" w:space="0" w:color="auto"/>
                    <w:right w:val="none" w:sz="0" w:space="0" w:color="auto"/>
                  </w:divBdr>
                </w:div>
              </w:divsChild>
            </w:div>
            <w:div w:id="1513954596">
              <w:marLeft w:val="0"/>
              <w:marRight w:val="0"/>
              <w:marTop w:val="0"/>
              <w:marBottom w:val="0"/>
              <w:divBdr>
                <w:top w:val="none" w:sz="0" w:space="0" w:color="auto"/>
                <w:left w:val="none" w:sz="0" w:space="0" w:color="auto"/>
                <w:bottom w:val="none" w:sz="0" w:space="0" w:color="auto"/>
                <w:right w:val="none" w:sz="0" w:space="0" w:color="auto"/>
              </w:divBdr>
              <w:divsChild>
                <w:div w:id="462774281">
                  <w:marLeft w:val="0"/>
                  <w:marRight w:val="0"/>
                  <w:marTop w:val="0"/>
                  <w:marBottom w:val="0"/>
                  <w:divBdr>
                    <w:top w:val="none" w:sz="0" w:space="0" w:color="auto"/>
                    <w:left w:val="none" w:sz="0" w:space="0" w:color="auto"/>
                    <w:bottom w:val="none" w:sz="0" w:space="0" w:color="auto"/>
                    <w:right w:val="none" w:sz="0" w:space="0" w:color="auto"/>
                  </w:divBdr>
                </w:div>
              </w:divsChild>
            </w:div>
            <w:div w:id="936212202">
              <w:marLeft w:val="0"/>
              <w:marRight w:val="0"/>
              <w:marTop w:val="0"/>
              <w:marBottom w:val="0"/>
              <w:divBdr>
                <w:top w:val="none" w:sz="0" w:space="0" w:color="auto"/>
                <w:left w:val="none" w:sz="0" w:space="0" w:color="auto"/>
                <w:bottom w:val="none" w:sz="0" w:space="0" w:color="auto"/>
                <w:right w:val="none" w:sz="0" w:space="0" w:color="auto"/>
              </w:divBdr>
              <w:divsChild>
                <w:div w:id="1900699943">
                  <w:marLeft w:val="0"/>
                  <w:marRight w:val="0"/>
                  <w:marTop w:val="0"/>
                  <w:marBottom w:val="0"/>
                  <w:divBdr>
                    <w:top w:val="none" w:sz="0" w:space="0" w:color="auto"/>
                    <w:left w:val="none" w:sz="0" w:space="0" w:color="auto"/>
                    <w:bottom w:val="none" w:sz="0" w:space="0" w:color="auto"/>
                    <w:right w:val="none" w:sz="0" w:space="0" w:color="auto"/>
                  </w:divBdr>
                </w:div>
              </w:divsChild>
            </w:div>
            <w:div w:id="1438671824">
              <w:marLeft w:val="0"/>
              <w:marRight w:val="0"/>
              <w:marTop w:val="0"/>
              <w:marBottom w:val="0"/>
              <w:divBdr>
                <w:top w:val="none" w:sz="0" w:space="0" w:color="auto"/>
                <w:left w:val="none" w:sz="0" w:space="0" w:color="auto"/>
                <w:bottom w:val="none" w:sz="0" w:space="0" w:color="auto"/>
                <w:right w:val="none" w:sz="0" w:space="0" w:color="auto"/>
              </w:divBdr>
              <w:divsChild>
                <w:div w:id="579825714">
                  <w:marLeft w:val="0"/>
                  <w:marRight w:val="0"/>
                  <w:marTop w:val="0"/>
                  <w:marBottom w:val="0"/>
                  <w:divBdr>
                    <w:top w:val="none" w:sz="0" w:space="0" w:color="auto"/>
                    <w:left w:val="none" w:sz="0" w:space="0" w:color="auto"/>
                    <w:bottom w:val="none" w:sz="0" w:space="0" w:color="auto"/>
                    <w:right w:val="none" w:sz="0" w:space="0" w:color="auto"/>
                  </w:divBdr>
                </w:div>
              </w:divsChild>
            </w:div>
            <w:div w:id="480197638">
              <w:marLeft w:val="0"/>
              <w:marRight w:val="0"/>
              <w:marTop w:val="0"/>
              <w:marBottom w:val="0"/>
              <w:divBdr>
                <w:top w:val="none" w:sz="0" w:space="0" w:color="auto"/>
                <w:left w:val="none" w:sz="0" w:space="0" w:color="auto"/>
                <w:bottom w:val="none" w:sz="0" w:space="0" w:color="auto"/>
                <w:right w:val="none" w:sz="0" w:space="0" w:color="auto"/>
              </w:divBdr>
              <w:divsChild>
                <w:div w:id="1187253523">
                  <w:marLeft w:val="0"/>
                  <w:marRight w:val="0"/>
                  <w:marTop w:val="0"/>
                  <w:marBottom w:val="0"/>
                  <w:divBdr>
                    <w:top w:val="none" w:sz="0" w:space="0" w:color="auto"/>
                    <w:left w:val="none" w:sz="0" w:space="0" w:color="auto"/>
                    <w:bottom w:val="none" w:sz="0" w:space="0" w:color="auto"/>
                    <w:right w:val="none" w:sz="0" w:space="0" w:color="auto"/>
                  </w:divBdr>
                </w:div>
              </w:divsChild>
            </w:div>
            <w:div w:id="2067217724">
              <w:marLeft w:val="0"/>
              <w:marRight w:val="0"/>
              <w:marTop w:val="0"/>
              <w:marBottom w:val="0"/>
              <w:divBdr>
                <w:top w:val="none" w:sz="0" w:space="0" w:color="auto"/>
                <w:left w:val="none" w:sz="0" w:space="0" w:color="auto"/>
                <w:bottom w:val="none" w:sz="0" w:space="0" w:color="auto"/>
                <w:right w:val="none" w:sz="0" w:space="0" w:color="auto"/>
              </w:divBdr>
              <w:divsChild>
                <w:div w:id="1218512476">
                  <w:marLeft w:val="0"/>
                  <w:marRight w:val="0"/>
                  <w:marTop w:val="0"/>
                  <w:marBottom w:val="0"/>
                  <w:divBdr>
                    <w:top w:val="none" w:sz="0" w:space="0" w:color="auto"/>
                    <w:left w:val="none" w:sz="0" w:space="0" w:color="auto"/>
                    <w:bottom w:val="none" w:sz="0" w:space="0" w:color="auto"/>
                    <w:right w:val="none" w:sz="0" w:space="0" w:color="auto"/>
                  </w:divBdr>
                </w:div>
              </w:divsChild>
            </w:div>
            <w:div w:id="1030296485">
              <w:marLeft w:val="0"/>
              <w:marRight w:val="0"/>
              <w:marTop w:val="0"/>
              <w:marBottom w:val="0"/>
              <w:divBdr>
                <w:top w:val="none" w:sz="0" w:space="0" w:color="auto"/>
                <w:left w:val="none" w:sz="0" w:space="0" w:color="auto"/>
                <w:bottom w:val="none" w:sz="0" w:space="0" w:color="auto"/>
                <w:right w:val="none" w:sz="0" w:space="0" w:color="auto"/>
              </w:divBdr>
              <w:divsChild>
                <w:div w:id="892545989">
                  <w:marLeft w:val="0"/>
                  <w:marRight w:val="0"/>
                  <w:marTop w:val="0"/>
                  <w:marBottom w:val="0"/>
                  <w:divBdr>
                    <w:top w:val="none" w:sz="0" w:space="0" w:color="auto"/>
                    <w:left w:val="none" w:sz="0" w:space="0" w:color="auto"/>
                    <w:bottom w:val="none" w:sz="0" w:space="0" w:color="auto"/>
                    <w:right w:val="none" w:sz="0" w:space="0" w:color="auto"/>
                  </w:divBdr>
                </w:div>
              </w:divsChild>
            </w:div>
            <w:div w:id="110518953">
              <w:marLeft w:val="0"/>
              <w:marRight w:val="0"/>
              <w:marTop w:val="0"/>
              <w:marBottom w:val="0"/>
              <w:divBdr>
                <w:top w:val="none" w:sz="0" w:space="0" w:color="auto"/>
                <w:left w:val="none" w:sz="0" w:space="0" w:color="auto"/>
                <w:bottom w:val="none" w:sz="0" w:space="0" w:color="auto"/>
                <w:right w:val="none" w:sz="0" w:space="0" w:color="auto"/>
              </w:divBdr>
              <w:divsChild>
                <w:div w:id="475689225">
                  <w:marLeft w:val="0"/>
                  <w:marRight w:val="0"/>
                  <w:marTop w:val="0"/>
                  <w:marBottom w:val="0"/>
                  <w:divBdr>
                    <w:top w:val="none" w:sz="0" w:space="0" w:color="auto"/>
                    <w:left w:val="none" w:sz="0" w:space="0" w:color="auto"/>
                    <w:bottom w:val="none" w:sz="0" w:space="0" w:color="auto"/>
                    <w:right w:val="none" w:sz="0" w:space="0" w:color="auto"/>
                  </w:divBdr>
                </w:div>
              </w:divsChild>
            </w:div>
            <w:div w:id="1387022071">
              <w:marLeft w:val="0"/>
              <w:marRight w:val="0"/>
              <w:marTop w:val="0"/>
              <w:marBottom w:val="0"/>
              <w:divBdr>
                <w:top w:val="none" w:sz="0" w:space="0" w:color="auto"/>
                <w:left w:val="none" w:sz="0" w:space="0" w:color="auto"/>
                <w:bottom w:val="none" w:sz="0" w:space="0" w:color="auto"/>
                <w:right w:val="none" w:sz="0" w:space="0" w:color="auto"/>
              </w:divBdr>
              <w:divsChild>
                <w:div w:id="348533369">
                  <w:marLeft w:val="0"/>
                  <w:marRight w:val="0"/>
                  <w:marTop w:val="0"/>
                  <w:marBottom w:val="0"/>
                  <w:divBdr>
                    <w:top w:val="none" w:sz="0" w:space="0" w:color="auto"/>
                    <w:left w:val="none" w:sz="0" w:space="0" w:color="auto"/>
                    <w:bottom w:val="none" w:sz="0" w:space="0" w:color="auto"/>
                    <w:right w:val="none" w:sz="0" w:space="0" w:color="auto"/>
                  </w:divBdr>
                </w:div>
              </w:divsChild>
            </w:div>
            <w:div w:id="1730373920">
              <w:marLeft w:val="0"/>
              <w:marRight w:val="0"/>
              <w:marTop w:val="0"/>
              <w:marBottom w:val="0"/>
              <w:divBdr>
                <w:top w:val="none" w:sz="0" w:space="0" w:color="auto"/>
                <w:left w:val="none" w:sz="0" w:space="0" w:color="auto"/>
                <w:bottom w:val="none" w:sz="0" w:space="0" w:color="auto"/>
                <w:right w:val="none" w:sz="0" w:space="0" w:color="auto"/>
              </w:divBdr>
              <w:divsChild>
                <w:div w:id="558976678">
                  <w:marLeft w:val="0"/>
                  <w:marRight w:val="0"/>
                  <w:marTop w:val="0"/>
                  <w:marBottom w:val="0"/>
                  <w:divBdr>
                    <w:top w:val="none" w:sz="0" w:space="0" w:color="auto"/>
                    <w:left w:val="none" w:sz="0" w:space="0" w:color="auto"/>
                    <w:bottom w:val="none" w:sz="0" w:space="0" w:color="auto"/>
                    <w:right w:val="none" w:sz="0" w:space="0" w:color="auto"/>
                  </w:divBdr>
                </w:div>
              </w:divsChild>
            </w:div>
            <w:div w:id="382874153">
              <w:marLeft w:val="0"/>
              <w:marRight w:val="0"/>
              <w:marTop w:val="0"/>
              <w:marBottom w:val="0"/>
              <w:divBdr>
                <w:top w:val="none" w:sz="0" w:space="0" w:color="auto"/>
                <w:left w:val="none" w:sz="0" w:space="0" w:color="auto"/>
                <w:bottom w:val="none" w:sz="0" w:space="0" w:color="auto"/>
                <w:right w:val="none" w:sz="0" w:space="0" w:color="auto"/>
              </w:divBdr>
              <w:divsChild>
                <w:div w:id="165095110">
                  <w:marLeft w:val="0"/>
                  <w:marRight w:val="0"/>
                  <w:marTop w:val="0"/>
                  <w:marBottom w:val="0"/>
                  <w:divBdr>
                    <w:top w:val="none" w:sz="0" w:space="0" w:color="auto"/>
                    <w:left w:val="none" w:sz="0" w:space="0" w:color="auto"/>
                    <w:bottom w:val="none" w:sz="0" w:space="0" w:color="auto"/>
                    <w:right w:val="none" w:sz="0" w:space="0" w:color="auto"/>
                  </w:divBdr>
                </w:div>
              </w:divsChild>
            </w:div>
            <w:div w:id="1436556213">
              <w:marLeft w:val="0"/>
              <w:marRight w:val="0"/>
              <w:marTop w:val="0"/>
              <w:marBottom w:val="0"/>
              <w:divBdr>
                <w:top w:val="none" w:sz="0" w:space="0" w:color="auto"/>
                <w:left w:val="none" w:sz="0" w:space="0" w:color="auto"/>
                <w:bottom w:val="none" w:sz="0" w:space="0" w:color="auto"/>
                <w:right w:val="none" w:sz="0" w:space="0" w:color="auto"/>
              </w:divBdr>
              <w:divsChild>
                <w:div w:id="1659990987">
                  <w:marLeft w:val="0"/>
                  <w:marRight w:val="0"/>
                  <w:marTop w:val="0"/>
                  <w:marBottom w:val="0"/>
                  <w:divBdr>
                    <w:top w:val="none" w:sz="0" w:space="0" w:color="auto"/>
                    <w:left w:val="none" w:sz="0" w:space="0" w:color="auto"/>
                    <w:bottom w:val="none" w:sz="0" w:space="0" w:color="auto"/>
                    <w:right w:val="none" w:sz="0" w:space="0" w:color="auto"/>
                  </w:divBdr>
                </w:div>
              </w:divsChild>
            </w:div>
            <w:div w:id="202327238">
              <w:marLeft w:val="0"/>
              <w:marRight w:val="0"/>
              <w:marTop w:val="0"/>
              <w:marBottom w:val="0"/>
              <w:divBdr>
                <w:top w:val="none" w:sz="0" w:space="0" w:color="auto"/>
                <w:left w:val="none" w:sz="0" w:space="0" w:color="auto"/>
                <w:bottom w:val="none" w:sz="0" w:space="0" w:color="auto"/>
                <w:right w:val="none" w:sz="0" w:space="0" w:color="auto"/>
              </w:divBdr>
              <w:divsChild>
                <w:div w:id="264390194">
                  <w:marLeft w:val="0"/>
                  <w:marRight w:val="0"/>
                  <w:marTop w:val="0"/>
                  <w:marBottom w:val="0"/>
                  <w:divBdr>
                    <w:top w:val="none" w:sz="0" w:space="0" w:color="auto"/>
                    <w:left w:val="none" w:sz="0" w:space="0" w:color="auto"/>
                    <w:bottom w:val="none" w:sz="0" w:space="0" w:color="auto"/>
                    <w:right w:val="none" w:sz="0" w:space="0" w:color="auto"/>
                  </w:divBdr>
                </w:div>
              </w:divsChild>
            </w:div>
            <w:div w:id="212540623">
              <w:marLeft w:val="0"/>
              <w:marRight w:val="0"/>
              <w:marTop w:val="0"/>
              <w:marBottom w:val="0"/>
              <w:divBdr>
                <w:top w:val="none" w:sz="0" w:space="0" w:color="auto"/>
                <w:left w:val="none" w:sz="0" w:space="0" w:color="auto"/>
                <w:bottom w:val="none" w:sz="0" w:space="0" w:color="auto"/>
                <w:right w:val="none" w:sz="0" w:space="0" w:color="auto"/>
              </w:divBdr>
              <w:divsChild>
                <w:div w:id="2134976295">
                  <w:marLeft w:val="0"/>
                  <w:marRight w:val="0"/>
                  <w:marTop w:val="0"/>
                  <w:marBottom w:val="0"/>
                  <w:divBdr>
                    <w:top w:val="none" w:sz="0" w:space="0" w:color="auto"/>
                    <w:left w:val="none" w:sz="0" w:space="0" w:color="auto"/>
                    <w:bottom w:val="none" w:sz="0" w:space="0" w:color="auto"/>
                    <w:right w:val="none" w:sz="0" w:space="0" w:color="auto"/>
                  </w:divBdr>
                </w:div>
              </w:divsChild>
            </w:div>
            <w:div w:id="716244439">
              <w:marLeft w:val="0"/>
              <w:marRight w:val="0"/>
              <w:marTop w:val="0"/>
              <w:marBottom w:val="0"/>
              <w:divBdr>
                <w:top w:val="none" w:sz="0" w:space="0" w:color="auto"/>
                <w:left w:val="none" w:sz="0" w:space="0" w:color="auto"/>
                <w:bottom w:val="none" w:sz="0" w:space="0" w:color="auto"/>
                <w:right w:val="none" w:sz="0" w:space="0" w:color="auto"/>
              </w:divBdr>
              <w:divsChild>
                <w:div w:id="1283195008">
                  <w:marLeft w:val="0"/>
                  <w:marRight w:val="0"/>
                  <w:marTop w:val="0"/>
                  <w:marBottom w:val="0"/>
                  <w:divBdr>
                    <w:top w:val="none" w:sz="0" w:space="0" w:color="auto"/>
                    <w:left w:val="none" w:sz="0" w:space="0" w:color="auto"/>
                    <w:bottom w:val="none" w:sz="0" w:space="0" w:color="auto"/>
                    <w:right w:val="none" w:sz="0" w:space="0" w:color="auto"/>
                  </w:divBdr>
                </w:div>
              </w:divsChild>
            </w:div>
            <w:div w:id="1055161723">
              <w:marLeft w:val="0"/>
              <w:marRight w:val="0"/>
              <w:marTop w:val="0"/>
              <w:marBottom w:val="0"/>
              <w:divBdr>
                <w:top w:val="none" w:sz="0" w:space="0" w:color="auto"/>
                <w:left w:val="none" w:sz="0" w:space="0" w:color="auto"/>
                <w:bottom w:val="none" w:sz="0" w:space="0" w:color="auto"/>
                <w:right w:val="none" w:sz="0" w:space="0" w:color="auto"/>
              </w:divBdr>
              <w:divsChild>
                <w:div w:id="396973127">
                  <w:marLeft w:val="0"/>
                  <w:marRight w:val="0"/>
                  <w:marTop w:val="0"/>
                  <w:marBottom w:val="0"/>
                  <w:divBdr>
                    <w:top w:val="none" w:sz="0" w:space="0" w:color="auto"/>
                    <w:left w:val="none" w:sz="0" w:space="0" w:color="auto"/>
                    <w:bottom w:val="none" w:sz="0" w:space="0" w:color="auto"/>
                    <w:right w:val="none" w:sz="0" w:space="0" w:color="auto"/>
                  </w:divBdr>
                </w:div>
              </w:divsChild>
            </w:div>
            <w:div w:id="1702901969">
              <w:marLeft w:val="0"/>
              <w:marRight w:val="0"/>
              <w:marTop w:val="0"/>
              <w:marBottom w:val="0"/>
              <w:divBdr>
                <w:top w:val="none" w:sz="0" w:space="0" w:color="auto"/>
                <w:left w:val="none" w:sz="0" w:space="0" w:color="auto"/>
                <w:bottom w:val="none" w:sz="0" w:space="0" w:color="auto"/>
                <w:right w:val="none" w:sz="0" w:space="0" w:color="auto"/>
              </w:divBdr>
              <w:divsChild>
                <w:div w:id="196503271">
                  <w:marLeft w:val="0"/>
                  <w:marRight w:val="0"/>
                  <w:marTop w:val="0"/>
                  <w:marBottom w:val="0"/>
                  <w:divBdr>
                    <w:top w:val="none" w:sz="0" w:space="0" w:color="auto"/>
                    <w:left w:val="none" w:sz="0" w:space="0" w:color="auto"/>
                    <w:bottom w:val="none" w:sz="0" w:space="0" w:color="auto"/>
                    <w:right w:val="none" w:sz="0" w:space="0" w:color="auto"/>
                  </w:divBdr>
                </w:div>
              </w:divsChild>
            </w:div>
            <w:div w:id="1333920558">
              <w:marLeft w:val="0"/>
              <w:marRight w:val="0"/>
              <w:marTop w:val="0"/>
              <w:marBottom w:val="0"/>
              <w:divBdr>
                <w:top w:val="none" w:sz="0" w:space="0" w:color="auto"/>
                <w:left w:val="none" w:sz="0" w:space="0" w:color="auto"/>
                <w:bottom w:val="none" w:sz="0" w:space="0" w:color="auto"/>
                <w:right w:val="none" w:sz="0" w:space="0" w:color="auto"/>
              </w:divBdr>
              <w:divsChild>
                <w:div w:id="1193956300">
                  <w:marLeft w:val="0"/>
                  <w:marRight w:val="0"/>
                  <w:marTop w:val="0"/>
                  <w:marBottom w:val="0"/>
                  <w:divBdr>
                    <w:top w:val="none" w:sz="0" w:space="0" w:color="auto"/>
                    <w:left w:val="none" w:sz="0" w:space="0" w:color="auto"/>
                    <w:bottom w:val="none" w:sz="0" w:space="0" w:color="auto"/>
                    <w:right w:val="none" w:sz="0" w:space="0" w:color="auto"/>
                  </w:divBdr>
                </w:div>
              </w:divsChild>
            </w:div>
            <w:div w:id="1498155132">
              <w:marLeft w:val="0"/>
              <w:marRight w:val="0"/>
              <w:marTop w:val="0"/>
              <w:marBottom w:val="0"/>
              <w:divBdr>
                <w:top w:val="none" w:sz="0" w:space="0" w:color="auto"/>
                <w:left w:val="none" w:sz="0" w:space="0" w:color="auto"/>
                <w:bottom w:val="none" w:sz="0" w:space="0" w:color="auto"/>
                <w:right w:val="none" w:sz="0" w:space="0" w:color="auto"/>
              </w:divBdr>
              <w:divsChild>
                <w:div w:id="248779883">
                  <w:marLeft w:val="0"/>
                  <w:marRight w:val="0"/>
                  <w:marTop w:val="0"/>
                  <w:marBottom w:val="0"/>
                  <w:divBdr>
                    <w:top w:val="none" w:sz="0" w:space="0" w:color="auto"/>
                    <w:left w:val="none" w:sz="0" w:space="0" w:color="auto"/>
                    <w:bottom w:val="none" w:sz="0" w:space="0" w:color="auto"/>
                    <w:right w:val="none" w:sz="0" w:space="0" w:color="auto"/>
                  </w:divBdr>
                </w:div>
              </w:divsChild>
            </w:div>
            <w:div w:id="1755394985">
              <w:marLeft w:val="0"/>
              <w:marRight w:val="0"/>
              <w:marTop w:val="0"/>
              <w:marBottom w:val="0"/>
              <w:divBdr>
                <w:top w:val="none" w:sz="0" w:space="0" w:color="auto"/>
                <w:left w:val="none" w:sz="0" w:space="0" w:color="auto"/>
                <w:bottom w:val="none" w:sz="0" w:space="0" w:color="auto"/>
                <w:right w:val="none" w:sz="0" w:space="0" w:color="auto"/>
              </w:divBdr>
              <w:divsChild>
                <w:div w:id="1550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2</cp:revision>
  <dcterms:created xsi:type="dcterms:W3CDTF">2010-07-20T13:31:00Z</dcterms:created>
  <dcterms:modified xsi:type="dcterms:W3CDTF">2010-07-20T13:31:00Z</dcterms:modified>
</cp:coreProperties>
</file>