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C5" w:rsidRDefault="006E38C5" w:rsidP="006E38C5">
      <w:pPr>
        <w:pStyle w:val="Heading3"/>
        <w:bidi/>
        <w:rPr>
          <w:rFonts w:ascii="Arabic Transparent" w:hAnsi="Arabic Transparent" w:cs="Arabic Transparent"/>
          <w:rtl/>
        </w:rPr>
      </w:pPr>
      <w:r>
        <w:rPr>
          <w:rFonts w:ascii="Arabic Transparent" w:hAnsi="Arabic Transparent" w:cs="Arabic Transparent"/>
          <w:rtl/>
        </w:rPr>
        <w:t>چكيده:</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دسترسى به اطلاعات حجم اقتصاد زير زمينى وميزان فرار مالياتى براى سياستهاى كلان اقتصادى مهم است. ما در اين مقاله از مجموعه و منطق فازى براى ايجاد يك سرى زمانى سالانه براى اقتصاد زيرزمينى (غير قابل مشاهده)و فرار مالياتى در ايران براى دوره زمانى (1378 -1343) استفاده مى كنيم. دو متغير ورودى (نهاده)مورد استفاده نرخ مؤثر ماليات وشاخص مقررات هستند. رويكرد منطق فازى براى مسئله اندازه گيرى تا حدى ذهنى است، امانتايج كاملاً محكم و قابل انتخاب است.</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واژگان كليدى: اقتصاد زيرزمينى، فرارمالياتى، نظريه فازى، منطق فازى، نرخ مؤثرمالياتى، درجه مقررات</w:t>
      </w:r>
    </w:p>
    <w:p w:rsidR="006E38C5" w:rsidRDefault="006E38C5" w:rsidP="006E38C5">
      <w:pPr>
        <w:pStyle w:val="Heading3"/>
        <w:bidi/>
        <w:rPr>
          <w:rFonts w:ascii="Arabic Transparent" w:hAnsi="Arabic Transparent" w:cs="Arabic Transparent"/>
          <w:rtl/>
        </w:rPr>
      </w:pPr>
      <w:r>
        <w:rPr>
          <w:rFonts w:ascii="Arabic Transparent" w:hAnsi="Arabic Transparent" w:cs="Arabic Transparent"/>
          <w:rtl/>
        </w:rPr>
        <w:t xml:space="preserve">مقدمه </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تحقيقات نشان داده‏اند كه بين فرار مالياتى واقتصاد زيرزمينى (</w:t>
      </w:r>
      <w:r>
        <w:rPr>
          <w:rFonts w:ascii="Arabic Transparent" w:hAnsi="Arabic Transparent" w:cs="Arabic Transparent"/>
        </w:rPr>
        <w:t>underground</w:t>
      </w:r>
      <w:r>
        <w:rPr>
          <w:rFonts w:ascii="Arabic Transparent" w:hAnsi="Arabic Transparent" w:cs="Arabic Transparent"/>
          <w:rtl/>
        </w:rPr>
        <w:t xml:space="preserve"> </w:t>
      </w:r>
      <w:r>
        <w:rPr>
          <w:rFonts w:ascii="Arabic Transparent" w:hAnsi="Arabic Transparent" w:cs="Arabic Transparent"/>
        </w:rPr>
        <w:t>economy</w:t>
      </w:r>
      <w:r>
        <w:rPr>
          <w:rFonts w:ascii="Arabic Transparent" w:hAnsi="Arabic Transparent" w:cs="Arabic Transparent"/>
          <w:rtl/>
        </w:rPr>
        <w:t>) همراهى وجود دارد(تانزى1982). داشتن اطلاعات در مورد حجم اقتصاد زيرزمينى و اندازه فرار مالياتى براى سياستگذاران اقتصادى بويژه مقامات مالياتى (سياستگذاران مالى) در پركردن شكاف مالياتى (</w:t>
      </w:r>
      <w:r>
        <w:rPr>
          <w:rFonts w:ascii="Arabic Transparent" w:hAnsi="Arabic Transparent" w:cs="Arabic Transparent"/>
        </w:rPr>
        <w:t>Tax-Gap</w:t>
      </w:r>
      <w:r>
        <w:rPr>
          <w:rFonts w:ascii="Arabic Transparent" w:hAnsi="Arabic Transparent" w:cs="Arabic Transparent"/>
          <w:rtl/>
        </w:rPr>
        <w:t>) اهميت بسزائى دارد. همچنين اين موضوع براى تعيين اثربخشى براى سياستهاى پولى و مالى، رشد اقتصادى و توزيع درآمد مورد توجه قرار گرفته است.</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اقتصاد زيرزمينى شامل فعاليتها و مبادلاتى است كه هر كدام ممكن است قانونى يا غيرقانونى باشد، اما اندازه‏گيرى نشده‏اند، زيرا گزارش نمى‏شوند. فقدان گزارش معمولاً بخاطر فرار ماليات است. مثالهائى از اين فعاليتها شامل پرداختهاى نقدى گزارش نشده، اخاذى، قاچاق، فحشاء، فروش موادمخدر و... .</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ماهيت اقتصادزيرزمينى بطور مستقيم قابل مشاهده نيست، به هر حال، چند روش توسط اقتصاددانان مختلف براى بدست آوردن اندازه اقتصاد زيرزمينى در كشورهاى مختلف استفاده مى شود. شواهد قابل دسترس فعلى براى برخى كشورها دلالت بر اين دارد كه:</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1- اقتصادزيرزمينى در حال رشد است (نه فقط بصورت اسمى و واقعى بلكه بطورنسبتى ازتوليدناخالص ثبت شده).</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2- دلايلى وجود دارد كه اين رشد اقتصاد زيرزمينى با افزايش، در بار مالياتى واقعى، همراه است.</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3- مداركى وجود دارد كه همانند قبل بين فعاليت اقتصاد زيرزمينى و مقررات اقتصادى همراهى وجود دارد.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بهر حال اندازه‏هاى كمّى قابل دسترس اقتصاد زيرزمينى به يك واقعيت مهم اشاره دارد: اندازه اقتصاد زيرزمينى در همه كشورها با توجه به داده هايى كه گزارش شده است، در حال رشد است. اين پديده دراين حالت نه فقط بصورت مطلق (اسمى )است، بلكه همچنين به طور نسبى، وقتى كه اقتصاد زيرزمينى اندازه‏گيرى شده را بصورت نسبتى از توليد ناخالص داخلى هر كشور ملاحظه مى‏كنيم. براى مثال اشنايدر (</w:t>
      </w:r>
      <w:r>
        <w:rPr>
          <w:rFonts w:ascii="Arabic Transparent" w:hAnsi="Arabic Transparent" w:cs="Arabic Transparent"/>
        </w:rPr>
        <w:t>Schneider</w:t>
      </w:r>
      <w:r>
        <w:rPr>
          <w:rFonts w:ascii="Arabic Transparent" w:hAnsi="Arabic Transparent" w:cs="Arabic Transparent"/>
          <w:rtl/>
        </w:rPr>
        <w:t>) و انست (</w:t>
      </w:r>
      <w:proofErr w:type="spellStart"/>
      <w:r>
        <w:rPr>
          <w:rFonts w:ascii="Arabic Transparent" w:hAnsi="Arabic Transparent" w:cs="Arabic Transparent"/>
        </w:rPr>
        <w:t>Enste</w:t>
      </w:r>
      <w:proofErr w:type="spellEnd"/>
      <w:r>
        <w:rPr>
          <w:rFonts w:ascii="Arabic Transparent" w:hAnsi="Arabic Transparent" w:cs="Arabic Transparent"/>
        </w:rPr>
        <w:t>) (1998</w:t>
      </w:r>
      <w:r>
        <w:rPr>
          <w:rFonts w:ascii="Arabic Transparent" w:hAnsi="Arabic Transparent" w:cs="Arabic Transparent"/>
          <w:rtl/>
        </w:rPr>
        <w:t>) شواهد بين‏المللى زيادى براى اين مشاهدات ايجاد كرده‏اند.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از اين رو يك نياز ضرورى و فورى براى بهبود و نو كردن روشهاى اندازه گيرى ابعاد اقتصادزيرزمينى غيرقابل مشاهده احساس مى‏شود. در اين مقاله مااين نياز را با تشريح اين كه چطور ابزار نظريه مجموعه هاى فازى (</w:t>
      </w:r>
      <w:r>
        <w:rPr>
          <w:rFonts w:ascii="Arabic Transparent" w:hAnsi="Arabic Transparent" w:cs="Arabic Transparent"/>
        </w:rPr>
        <w:t>Fuzzy Set</w:t>
      </w:r>
      <w:r>
        <w:rPr>
          <w:rFonts w:ascii="Arabic Transparent" w:hAnsi="Arabic Transparent" w:cs="Arabic Transparent"/>
          <w:rtl/>
        </w:rPr>
        <w:t>) ومنطق فازى (</w:t>
      </w:r>
      <w:r>
        <w:rPr>
          <w:rFonts w:ascii="Arabic Transparent" w:hAnsi="Arabic Transparent" w:cs="Arabic Transparent"/>
        </w:rPr>
        <w:t>Fuzzy Logic</w:t>
      </w:r>
      <w:r>
        <w:rPr>
          <w:rFonts w:ascii="Arabic Transparent" w:hAnsi="Arabic Transparent" w:cs="Arabic Transparent"/>
          <w:rtl/>
        </w:rPr>
        <w:t>) مى‏تواند براى ايجاد يك سرى زمانى ازاقتصاد زيرزمينى بكار رود بحث خواهيم كرد .اين تصوير محدوديتهائى دارد، اما نويدبخش و كاربردى است.</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بخش اول، مرورى بر ادبيات و تجربيات اقتصاد زير زمينى وفرارمالياتى است. بخش دوم، بعضى از پايه هاى اصلى همراه با مجموعه فازى را توضيح مى‏دهد كه زمينه اصلى روش شناسى ما است. جزئيات بيشتر اين روش شناسى در بخش سوم آمده است. نتايج اصلى براى ايران در بخش چهارم تشريح شده است. بخش آخر به يك تصوير كلى براى تحقيقات آينده روى اين موضوع اشاره دارد.</w:t>
      </w:r>
    </w:p>
    <w:p w:rsidR="006E38C5" w:rsidRDefault="006E38C5" w:rsidP="006E38C5">
      <w:pPr>
        <w:pStyle w:val="Heading3"/>
        <w:bidi/>
        <w:rPr>
          <w:rFonts w:ascii="Arabic Transparent" w:hAnsi="Arabic Transparent" w:cs="Arabic Transparent"/>
          <w:rtl/>
        </w:rPr>
      </w:pPr>
      <w:r>
        <w:rPr>
          <w:rFonts w:ascii="Arabic Transparent" w:hAnsi="Arabic Transparent" w:cs="Arabic Transparent"/>
          <w:rtl/>
        </w:rPr>
        <w:lastRenderedPageBreak/>
        <w:t>1- مرورى بر ادبيات و تجربيات اقتصاد زيرزمينى و فرار مالياتى</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درباره روشهاى اندازه‏گيرى حجم اقتصاد زيرزمينى و فرار مالياتى نوشته‏هاى زيادى موجود است. بعضى از اين روشها بوسيله ارارد (</w:t>
      </w:r>
      <w:proofErr w:type="spellStart"/>
      <w:r>
        <w:rPr>
          <w:rFonts w:ascii="Arabic Transparent" w:hAnsi="Arabic Transparent" w:cs="Arabic Transparent"/>
        </w:rPr>
        <w:t>Erard</w:t>
      </w:r>
      <w:proofErr w:type="spellEnd"/>
      <w:r>
        <w:rPr>
          <w:rFonts w:ascii="Arabic Transparent" w:hAnsi="Arabic Transparent" w:cs="Arabic Transparent"/>
          <w:rtl/>
        </w:rPr>
        <w:t>) و گيلز (</w:t>
      </w:r>
      <w:r>
        <w:rPr>
          <w:rFonts w:ascii="Arabic Transparent" w:hAnsi="Arabic Transparent" w:cs="Arabic Transparent"/>
        </w:rPr>
        <w:t>Giles) (1997</w:t>
      </w:r>
      <w:r>
        <w:rPr>
          <w:rFonts w:ascii="Arabic Transparent" w:hAnsi="Arabic Transparent" w:cs="Arabic Transparent"/>
          <w:rtl/>
        </w:rPr>
        <w:t>)بحث شده است. اين روشها شامل بررسى و مطالعه روى تعلق مالياتى، استفاده از تفاوتهاى اصلى بين درآمد ملى و هزينه ملى (كه با قضاوتهاى ارزشى همراه است )، ملاحظه نوسانات نرخ مشاركت نيروى كار، روش نسبت نقد كيگان (1958) و ديگران، روش مبادله پولى فيگ (1979) و استفاده از «مدل ساختار متغيرهاى نامشهود» مى باشد، روش استفاده از نهاده فيزيكى (الكتريسته)يكى ديگر از روشهاى برآورد مى باشد. بيشتر اين روشها داراى نقاط ضعف هستند، كه به برخى از آنان اشاره مى شود.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بررسى تعلق مالياتى ،عموما اندازه اقتصاد زيرزمينى را كمتر از حد برآورد مى كند،زيرا پاسخ دهندگان مايل نيستند،حدود مشاركت خود را در فعاليتهاى غيرقانونى بطور واقعى آشكار كنند. بعلاوه در رابطه با طراحى پرسشنامه ها مسائل مهمى وجود دارد كه هميشه به دقت مورد توجه قرار نمى گيرند. روشهاى قضاوتى و روشهاى حسابهاى ملى، مدل رسمى براى اقتصاد زيرزمينى طراحى نمى‏كنند، بلكه به جاى آن،طرف هزينه يا درآمد حسابهاى ملى را به تفصيل به بخشهاى تشكيل دهنده تقسيم مى كنند و با روشهاى قضاوتى حداكثر احتمالى درآمدها و هزينه‏هاى ثبت نشده را تعيين مى‏كنند.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ضعفهاى اين رويكرد عبارتند از: ذهنى بودن آن و پوشش محدود آن، بويژه در اين رويكرد فعاليتهاى پنهانى را از بعد توليد ناخالص داخلى و نه از بعد پايه‏هاى مالياتى بررسى مى‏كنند. در نتيجه تخمين اقتصاد زيرزمينى نيز احتمالاً بسيار محافظه‏كارانه است. تورش مشابه اى نيز در معيارهاى اندازه گيرى اقتصاد زير زمينى كه بر تغييرات داده هاى نرخ مشاركت نيروى كار وجود دارد، زيرا تعاريف اين داده‏ها بسيار محدود است و عوامل اجتماعى، جمعيتى يا ديگر عوامل اقتصادى نيز اين تغييرات را بوجود مى آورند.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ضعف روش نسبت نقدينگى منتسب به كيگان (</w:t>
      </w:r>
      <w:proofErr w:type="spellStart"/>
      <w:r>
        <w:rPr>
          <w:rFonts w:ascii="Arabic Transparent" w:hAnsi="Arabic Transparent" w:cs="Arabic Transparent"/>
        </w:rPr>
        <w:t>Cagan</w:t>
      </w:r>
      <w:proofErr w:type="spellEnd"/>
      <w:r>
        <w:rPr>
          <w:rFonts w:ascii="Arabic Transparent" w:hAnsi="Arabic Transparent" w:cs="Arabic Transparent"/>
        </w:rPr>
        <w:t>) (1957</w:t>
      </w:r>
      <w:r>
        <w:rPr>
          <w:rFonts w:ascii="Arabic Transparent" w:hAnsi="Arabic Transparent" w:cs="Arabic Transparent"/>
          <w:rtl/>
        </w:rPr>
        <w:t>)مربوط به سه فرض اساسى آن است:</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1- تمامى معاملات گزارش نشده با پول نقد انجام مى‏گيرد.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2- نسبت پول نقد رايج به سپرده هاى ديدارى در بخش رسمى اقتصاد، در طول زمان ثابت است.</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3- سرعت گردش پول نقد (سرعت گردش پول در اقتصاد رسمى و اقتصاد غيررسمى) برابر است.</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فرض دوم بويژه با توجه به معاملات الكترونيكى بانكى مشكل‏زا است. نتايج حاصل از روش نسبت خام نقدينگى مورد ترديد است و به تعريف داده‏ها حساس است. (بويژه نسبت به تعريف عرضه پول)</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روش تانزى (</w:t>
      </w:r>
      <w:proofErr w:type="spellStart"/>
      <w:r>
        <w:rPr>
          <w:rFonts w:ascii="Arabic Transparent" w:hAnsi="Arabic Transparent" w:cs="Arabic Transparent"/>
        </w:rPr>
        <w:t>Tanzi</w:t>
      </w:r>
      <w:proofErr w:type="spellEnd"/>
      <w:r>
        <w:rPr>
          <w:rFonts w:ascii="Arabic Transparent" w:hAnsi="Arabic Transparent" w:cs="Arabic Transparent"/>
        </w:rPr>
        <w:t>) (1983</w:t>
      </w:r>
      <w:r>
        <w:rPr>
          <w:rFonts w:ascii="Arabic Transparent" w:hAnsi="Arabic Transparent" w:cs="Arabic Transparent"/>
          <w:rtl/>
        </w:rPr>
        <w:t>) فرض نسبت ثابت نقدينگى به عرضه پول را كنار مى گذارد و اين نسبت را تابعى از نرخ بهره،درآمد سرانه متغيرهاى مختلف مالياتى و نسبت دستمزدها به درآمد ملى مى‏گرداند.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اگر چه اين كار در قياس با روش نسبت خام نقدينگى يك پيشرفت محسوب مى‏شود، باز داراى اين فرض غير واقعى است كه تمامى معاملات زيرزمينى با پول نقد انجام مى شود و انگيزه اين كار نيز فرار مالياتى است. بعلاوه بر اين پيش فرض استوار است كه رابطه با ثباتى بين نسبت پول نقد به عرضه پول و متغيرهاى مختلفى كه در بالا نام برديم وجود دارد و شكل اين تابع نيز شناخته شده است. روش تانزى نيز بر چندين فرض ترديدآميز مبتنى است و در معرض تورش خطاى تصريح است كه اغلب به برآورد بيش از حد اندازه اقتصادزيرزمينى منجر مى‏شود.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باتاكاريا (</w:t>
      </w:r>
      <w:proofErr w:type="spellStart"/>
      <w:r>
        <w:rPr>
          <w:rFonts w:ascii="Arabic Transparent" w:hAnsi="Arabic Transparent" w:cs="Arabic Transparent"/>
        </w:rPr>
        <w:t>Bhattachareyya</w:t>
      </w:r>
      <w:proofErr w:type="spellEnd"/>
      <w:r>
        <w:rPr>
          <w:rFonts w:ascii="Arabic Transparent" w:hAnsi="Arabic Transparent" w:cs="Arabic Transparent"/>
        </w:rPr>
        <w:t>) (1990</w:t>
      </w:r>
      <w:r>
        <w:rPr>
          <w:rFonts w:ascii="Arabic Transparent" w:hAnsi="Arabic Transparent" w:cs="Arabic Transparent"/>
          <w:rtl/>
        </w:rPr>
        <w:t xml:space="preserve">)درمطالعه اقتصاد زيرزمينى بريتانيا رويكرد ديگرى ازروش نسبت نقدينگى رابكار مى‏گيرد.او يك معادله تقاضاى پول نقد جديد برآورد كرده است كه در آن توليد رسمى و توليد مخفى رابعنوان متغيرهاى توضيحى از يكديگر مجزا و مشخص كرده و براى توليد پنهان يك متغير جانشين در نظر گرفته است. رويكرد </w:t>
      </w:r>
      <w:r>
        <w:rPr>
          <w:rFonts w:ascii="Arabic Transparent" w:hAnsi="Arabic Transparent" w:cs="Arabic Transparent"/>
          <w:rtl/>
        </w:rPr>
        <w:lastRenderedPageBreak/>
        <w:t>او چندين مزيت دارد از جمله اين كه مى‏توان با آن نظريات فرار مالياتى را به درستى آزمون كرد. اما اين كار مستلزم تقريب يك تابع است و تنها بر يك علامت مستقيم اقتصاد پنهانى يعنى تقاضابراى پول نقد متمركز مى‏شود.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فيگ (1979) در روش معاملاتى خود از بسيارى از مشكلات مربوط به فرضيات قوى رويكردهاى فوق اجتناب مى كند. اما عيب آن، نياز به داده هاى فراوان براى تخمين صحيح نرخهاى بازده پول نقد و همچنين حذف معاملات مالى از پرداختهاى ناخالص است. در عمل اين امر مى تواند قابليت اعتماد اين رويكرد را براى اندازه‏گيرى اقتصاد زيرزمينى به شدت محدود كند.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 xml:space="preserve">از ميان روشهاى متعدد براى اندازه‏گيرى اقتصاد زيرزمينى روش مدل سازى متغير نامشهود </w:t>
      </w:r>
      <w:r>
        <w:rPr>
          <w:rFonts w:ascii="Arabic Transparent" w:hAnsi="Arabic Transparent" w:cs="Arabic Transparent"/>
        </w:rPr>
        <w:t>MIMIC</w:t>
      </w:r>
      <w:r>
        <w:rPr>
          <w:rFonts w:ascii="Arabic Transparent" w:hAnsi="Arabic Transparent" w:cs="Arabic Transparent"/>
          <w:rtl/>
        </w:rPr>
        <w:t xml:space="preserve"> جديدترين روش محسوب مى‏شود. يك مدل </w:t>
      </w:r>
      <w:r>
        <w:rPr>
          <w:rFonts w:ascii="Arabic Transparent" w:hAnsi="Arabic Transparent" w:cs="Arabic Transparent"/>
        </w:rPr>
        <w:t>MIMIC</w:t>
      </w:r>
      <w:r>
        <w:rPr>
          <w:rFonts w:ascii="Arabic Transparent" w:hAnsi="Arabic Transparent" w:cs="Arabic Transparent"/>
          <w:rtl/>
        </w:rPr>
        <w:t xml:space="preserve"> (چند شاخص، چند علت) يك مدل اقتصادسنجى ساختارى است كه اندازه اقتصاد زيرزمينى را يك متغير نامشهود (مشاهده نشده) تلقى مى‏كند. اين متغير نامشهود از يك طرف به مجموعه‏اى از شاخصهاى (قابل مشاهده) كه نشان دهنده تغيرات اقتصاد زيرزمينى است مربوط مى‏شود و از طرف ديگر به مجموعه‏اى از متغيرهاى علّى (مشاهده شده) مربوط مى‏شود كه معتقديم نيروى اصلى پيش برنده فعاليتهاى اصلى زيرزمينى است.</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روش استفاده از نهاده فيزيكى (الكتريسته)با استفاده از داده‏هاى مصرف كل الكتريسته براى مقايسه فعاليت غير رسمى در هر كشورى استفاده مى كند. اين روش مبتنى بر اين فرض است كه هر فعاليت اقتصادى چه رسمى و چه غيررسمى نهاده انرژى، بويژه الكتريسته مصرف مى‏كند، در اين روش براساس يافته‏هاى تجربى فرض مى‏شود، كشش كوتاه مدت الكتريسته به توليد ناخالص داخلى يك مى‏باشد، از اين رو از اختلاف بين توليد ناخالص كل واندازه‏گيرى شده، اندازه اقتصاد پنهان برآورد مى‏شود. اشنايدر و انست (1997،2001) و كافمن و جانسون (2000) بر اين اساس حجم اقتصاد زيرزمينى را براى كشورهاى اروپاى شرقى و امريكاى لاتين گزارش نمودند. اين رويكرد با محدوديت‏هايى مواجه است از جمله اين كه ممكن است برخى از فعاليتهاى زير زمينى از الكتريسته استفاده نكنند، يا اين كه از ساير جايگزينهاى انرژى مثل ذغال‏سنگ، سوختهاى فسيلى استفاده كنند.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فرار مالياتى در كشورهاى در حال تو سعه بيشتر ديده مى شود ،اما ويژه اين كشورها نيست. هارت مى‏گويد: در امريكاى لاتين هركس ماليات پرداخت نمايد، احساس مى‏كند، چيزى بيش از سهم خود پرداخته است. چون غالبا هيچ كس ماليات پرداخت نمى‏كند. بيشترين ماليات در امريكاى لاتين را ماليات بر حقوق تشكيل مى‏دهد. چاگ مى‏گويد: در اين كشورهابا توجه به قدرت زياد مأمورين مالياتى،رشوه خوارى امرى قابل توجيه است.</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در چند سال اخير استفاده از منطق فازى در اقتصاد، بويژه در ارتباط با متغيرهايى كه مبهم هستند، آغاز شده است. گيلز (2000) با استفاده از منطق فازى و نظريه مجموعه‏ها اقدام به ايجاد يك سرى زمانى اقتصاد زيرزمينى براى نيوزلند كرده است. از آن جا كه اين روش مبتنى بر يك منطق جديد با كار كردهاى بهتر است، نتايج مطمئن‏ترى ايجاد خواهد كرد.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 xml:space="preserve">اندازه گيرى اقتصاد زيرزمينى در ايران سابقه چندانى ندارد. اولين تلاش در اين موضوع به خانم فيروزه خلعت‏برى (1369) باز مى‏گردد. روش خلعت‏برى توسط معاونت بررسيهاى استراتژيك نهاد رياست جمهورى (1376)، كورش طاهرفر (1376)، احمد رضا باقرى گرمارودى (1377)، حميدرضا اشرف‏زاده (1378) دنبال گرديده است. وجه مشترك همه اين مطالعات استفاده از روش پولى است. عرب مازار (1379) با روش </w:t>
      </w:r>
      <w:r>
        <w:rPr>
          <w:rFonts w:ascii="Arabic Transparent" w:hAnsi="Arabic Transparent" w:cs="Arabic Transparent"/>
        </w:rPr>
        <w:t>MIMIC</w:t>
      </w:r>
      <w:r>
        <w:rPr>
          <w:rFonts w:ascii="Arabic Transparent" w:hAnsi="Arabic Transparent" w:cs="Arabic Transparent"/>
          <w:rtl/>
        </w:rPr>
        <w:t xml:space="preserve"> اقدام به برآورد اقتصاد سياه و تحليل آن پرداخته است. خلاصه نتايج مطالعات فوق در جدول شماره 1 گزارش شده است.</w:t>
      </w:r>
    </w:p>
    <w:p w:rsidR="006E38C5" w:rsidRDefault="006E38C5" w:rsidP="006E38C5">
      <w:pPr>
        <w:pStyle w:val="Heading3"/>
        <w:bidi/>
        <w:rPr>
          <w:rFonts w:ascii="Arabic Transparent" w:hAnsi="Arabic Transparent" w:cs="Arabic Transparent"/>
          <w:rtl/>
        </w:rPr>
      </w:pPr>
      <w:r>
        <w:rPr>
          <w:rFonts w:ascii="Arabic Transparent" w:hAnsi="Arabic Transparent" w:cs="Arabic Transparent"/>
          <w:rtl/>
        </w:rPr>
        <w:t xml:space="preserve">2- زمينه اصلى </w:t>
      </w:r>
    </w:p>
    <w:p w:rsidR="006E38C5" w:rsidRDefault="006E38C5" w:rsidP="006E38C5">
      <w:pPr>
        <w:pStyle w:val="Heading4"/>
        <w:bidi/>
        <w:rPr>
          <w:rFonts w:ascii="Arabic Transparent" w:hAnsi="Arabic Transparent" w:cs="Arabic Transparent"/>
          <w:rtl/>
        </w:rPr>
      </w:pPr>
      <w:r>
        <w:rPr>
          <w:rFonts w:ascii="Arabic Transparent" w:hAnsi="Arabic Transparent" w:cs="Arabic Transparent"/>
          <w:rtl/>
        </w:rPr>
        <w:t xml:space="preserve">1-2 زمينه تاريخى </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 xml:space="preserve">نظريه مجموعه فازى ومنطق فازى: نظريه مجموعه و منطق فازى ابتدا در سال 1965، توسط لطفى عسكرزاده رياضيدان ايرانى تبار و استاد دانشگاه بركلى آمريكا مطرح شد. اين نظريه از زمان ارائه آن تاكنون، گسترش و تعميق زيادى يافته و كاربردهاى گوناگونى ـ در زمينه‏هاى مختلف علوم، بويژه كامپيوتر، تحليل سيستمى، الكترونيك، برق و </w:t>
      </w:r>
      <w:r>
        <w:rPr>
          <w:rFonts w:ascii="Arabic Transparent" w:hAnsi="Arabic Transparent" w:cs="Arabic Transparent"/>
          <w:rtl/>
        </w:rPr>
        <w:lastRenderedPageBreak/>
        <w:t>اخيرا در علوم اجتماعى و اقتصادـ پيداكرده است. نظريه مجموعه هاى فازى، نظريه‏اى براى اقدام در شرايط عدم اطمينان است. اين نظريه قادر است بسيارى از مفاهيم و متغيرها و سيستمهايى را كه از دقت كافى برخوردار نيستند و مبهم هستند، چنانچه در عالم واقع اكثرا چنين است، صورتبندى رياضى ببخشد و زمينه را براى استدلال، استنتاج، كنترل و تصميم‏گيرى در شرايط عدم‏اطمينان فراهم آورد.</w:t>
      </w:r>
    </w:p>
    <w:p w:rsidR="006E38C5" w:rsidRDefault="006E38C5" w:rsidP="006E38C5">
      <w:pPr>
        <w:pStyle w:val="Heading4"/>
        <w:bidi/>
        <w:rPr>
          <w:rFonts w:ascii="Arabic Transparent" w:hAnsi="Arabic Transparent" w:cs="Arabic Transparent"/>
          <w:rtl/>
        </w:rPr>
      </w:pPr>
      <w:r>
        <w:rPr>
          <w:rFonts w:ascii="Arabic Transparent" w:hAnsi="Arabic Transparent" w:cs="Arabic Transparent"/>
          <w:rtl/>
        </w:rPr>
        <w:t>2-2 چندتعريف</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مجموعه‏هاى فازى به «مفاهيم (</w:t>
      </w:r>
      <w:r>
        <w:rPr>
          <w:rFonts w:ascii="Arabic Transparent" w:hAnsi="Arabic Transparent" w:cs="Arabic Transparent"/>
        </w:rPr>
        <w:t>concepts</w:t>
      </w:r>
      <w:r>
        <w:rPr>
          <w:rFonts w:ascii="Arabic Transparent" w:hAnsi="Arabic Transparent" w:cs="Arabic Transparent"/>
          <w:rtl/>
        </w:rPr>
        <w:t>)» و «متغيرهاى زبانى (</w:t>
      </w:r>
      <w:r>
        <w:rPr>
          <w:rFonts w:ascii="Arabic Transparent" w:hAnsi="Arabic Transparent" w:cs="Arabic Transparent"/>
        </w:rPr>
        <w:t>linguistic</w:t>
      </w:r>
      <w:r>
        <w:rPr>
          <w:rFonts w:ascii="Arabic Transparent" w:hAnsi="Arabic Transparent" w:cs="Arabic Transparent"/>
          <w:rtl/>
        </w:rPr>
        <w:t xml:space="preserve"> </w:t>
      </w:r>
      <w:r>
        <w:rPr>
          <w:rFonts w:ascii="Arabic Transparent" w:hAnsi="Arabic Transparent" w:cs="Arabic Transparent"/>
        </w:rPr>
        <w:t>variables</w:t>
      </w:r>
      <w:r>
        <w:rPr>
          <w:rFonts w:ascii="Arabic Transparent" w:hAnsi="Arabic Transparent" w:cs="Arabic Transparent"/>
          <w:rtl/>
        </w:rPr>
        <w:t>)» تقسيم مى‏شود. براى مثال «قيمت» يك مفهوم است و «قيمت نسبتاپائين» يك متغير زبانى است. يك مجموعه فازى از يك مجموعه منظم به يك مجموعه [0و1] نگاشت (</w:t>
      </w:r>
      <w:r>
        <w:rPr>
          <w:rFonts w:ascii="Arabic Transparent" w:hAnsi="Arabic Transparent" w:cs="Arabic Transparent"/>
        </w:rPr>
        <w:t>map</w:t>
      </w:r>
      <w:r>
        <w:rPr>
          <w:rFonts w:ascii="Arabic Transparent" w:hAnsi="Arabic Transparent" w:cs="Arabic Transparent"/>
          <w:rtl/>
        </w:rPr>
        <w:t>) مى‏كند. عضو يك مجموعه فازى «غيرمنعطف (</w:t>
      </w:r>
      <w:r>
        <w:rPr>
          <w:rFonts w:ascii="Arabic Transparent" w:hAnsi="Arabic Transparent" w:cs="Arabic Transparent"/>
        </w:rPr>
        <w:t>crisp</w:t>
      </w:r>
      <w:r>
        <w:rPr>
          <w:rFonts w:ascii="Arabic Transparent" w:hAnsi="Arabic Transparent" w:cs="Arabic Transparent"/>
          <w:rtl/>
        </w:rPr>
        <w:t>)» نيست. يك مثال از اين نگاشت به قرار زير است:</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«قيمت يك كامپيوتر شخصى 15 هزار دلار است، اين يكى از گرانبهاترين كامپيوترهائى است كه من ديده‏ام و بنابراين قيمت آن رابه نرخ ميزان 98/0 قرار مى‏دهم.» عدد 98/0 درجه عضويت نام دارد و نبايد اين مقدار را با يك احتمال اشتباه گرفت؛ براى مثال لزومى ندارد جمع درجات عضويت يك باشد. مثال منطق فازى به اين نحو است: «اگر قيمت بالا باشد، تقاضا پائين خواهد بود.» يا «اگر مالياتها بالا باشد، فرار مالياتى بالا خواهد بود.» كاربرد گزاره‏هاى استقرائى به مفاهيم فازى، مشكلاتى در بردارد؛ يعنى تمامى قوانين معمول نظريه مجموعه‏ها برآورد نمى شود. بويژه «قانون واسطه طرد (</w:t>
      </w:r>
      <w:r>
        <w:rPr>
          <w:rFonts w:ascii="Arabic Transparent" w:hAnsi="Arabic Transparent" w:cs="Arabic Transparent"/>
        </w:rPr>
        <w:t>law</w:t>
      </w:r>
      <w:r>
        <w:rPr>
          <w:rFonts w:ascii="Arabic Transparent" w:hAnsi="Arabic Transparent" w:cs="Arabic Transparent"/>
          <w:rtl/>
        </w:rPr>
        <w:t xml:space="preserve"> </w:t>
      </w:r>
      <w:r>
        <w:rPr>
          <w:rFonts w:ascii="Arabic Transparent" w:hAnsi="Arabic Transparent" w:cs="Arabic Transparent"/>
        </w:rPr>
        <w:t>of the excluded middle</w:t>
      </w:r>
      <w:r>
        <w:rPr>
          <w:rFonts w:ascii="Arabic Transparent" w:hAnsi="Arabic Transparent" w:cs="Arabic Transparent"/>
          <w:rtl/>
        </w:rPr>
        <w:t xml:space="preserve">)» نقض مى‏شود، بنابراين بايد گروه متفاوتى از عملگرها را پذيرفت؛ براى مثال «ماكزيمم» جاى «اجتماع» را مى‏گيرد، «مينيموم» جاى «اشتراك» را مى‏گيرد و مكمل جاى خود را به كسراز عدد 1 مى دهد، آنگاه قوانين جابه جا پذيرى، شركت‏پذيرى، توزيع پذيرى، خودتوانى، جذب، واسطه‏طرد، برگشت پذيرى و قانون دمرگان برآورده خواهد شد. </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براى مثال اگر {</w:t>
      </w:r>
      <w:r>
        <w:rPr>
          <w:rFonts w:ascii="Arabic Transparent" w:hAnsi="Arabic Transparent" w:cs="Arabic Transparent"/>
        </w:rPr>
        <w:t xml:space="preserve">U= </w:t>
      </w:r>
      <w:proofErr w:type="spellStart"/>
      <w:r>
        <w:rPr>
          <w:rFonts w:ascii="Arabic Transparent" w:hAnsi="Arabic Transparent" w:cs="Arabic Transparent"/>
        </w:rPr>
        <w:t>d,c,b,a</w:t>
      </w:r>
      <w:proofErr w:type="spellEnd"/>
      <w:r>
        <w:rPr>
          <w:rFonts w:ascii="Arabic Transparent" w:hAnsi="Arabic Transparent" w:cs="Arabic Transparent"/>
          <w:rtl/>
        </w:rPr>
        <w:t xml:space="preserve">} و مجموعه‏هاى فازى </w:t>
      </w:r>
      <w:r>
        <w:rPr>
          <w:rFonts w:ascii="Arabic Transparent" w:hAnsi="Arabic Transparent" w:cs="Arabic Transparent"/>
        </w:rPr>
        <w:t>A</w:t>
      </w:r>
      <w:r>
        <w:rPr>
          <w:rFonts w:ascii="Arabic Transparent" w:hAnsi="Arabic Transparent" w:cs="Arabic Transparent"/>
          <w:rtl/>
        </w:rPr>
        <w:t xml:space="preserve"> و </w:t>
      </w:r>
      <w:r>
        <w:rPr>
          <w:rFonts w:ascii="Arabic Transparent" w:hAnsi="Arabic Transparent" w:cs="Arabic Transparent"/>
        </w:rPr>
        <w:t>B</w:t>
      </w:r>
      <w:r>
        <w:rPr>
          <w:rFonts w:ascii="Arabic Transparent" w:hAnsi="Arabic Transparent" w:cs="Arabic Transparent"/>
          <w:rtl/>
        </w:rPr>
        <w:t xml:space="preserve"> بصورت </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noProof/>
        </w:rPr>
        <w:drawing>
          <wp:inline distT="0" distB="0" distL="0" distR="0">
            <wp:extent cx="3335655" cy="380365"/>
            <wp:effectExtent l="19050" t="0" r="0" b="0"/>
            <wp:docPr id="131" name="Picture 131" descr="http://www.hawzah.net/Per/Magazine/NM/027/NM027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hawzah.net/Per/Magazine/NM/027/NM027061.JPG"/>
                    <pic:cNvPicPr>
                      <a:picLocks noChangeAspect="1" noChangeArrowheads="1"/>
                    </pic:cNvPicPr>
                  </pic:nvPicPr>
                  <pic:blipFill>
                    <a:blip r:embed="rId4"/>
                    <a:srcRect/>
                    <a:stretch>
                      <a:fillRect/>
                    </a:stretch>
                  </pic:blipFill>
                  <pic:spPr bwMode="auto">
                    <a:xfrm>
                      <a:off x="0" y="0"/>
                      <a:ext cx="3335655" cy="380365"/>
                    </a:xfrm>
                    <a:prstGeom prst="rect">
                      <a:avLst/>
                    </a:prstGeom>
                    <a:noFill/>
                    <a:ln w="9525">
                      <a:noFill/>
                      <a:miter lim="800000"/>
                      <a:headEnd/>
                      <a:tailEnd/>
                    </a:ln>
                  </pic:spPr>
                </pic:pic>
              </a:graphicData>
            </a:graphic>
          </wp:inline>
        </w:drawing>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متشابها {</w:t>
      </w:r>
      <w:r>
        <w:rPr>
          <w:rFonts w:ascii="Arabic Transparent" w:hAnsi="Arabic Transparent" w:cs="Arabic Transparent"/>
        </w:rPr>
        <w:t>B¨={0.1/a,0/b,0.6/c,0.9/d</w:t>
      </w:r>
      <w:r>
        <w:rPr>
          <w:rFonts w:ascii="Arabic Transparent" w:hAnsi="Arabic Transparent" w:cs="Arabic Transparent"/>
          <w:rtl/>
        </w:rPr>
        <w:t>}استفاده از مجموعه‏ها و منطق فازى در اقتصاد سنجى حالتى جذاب است؛ مثلاً اغلب داده هاى ما به ناچار مبهم است، ممكن است دانش محدودى از ماهيت روابط ميان متغيرها در اختيار داشته باشيم و ممكن است اين روابط، روابط پيچيده ذاتا غير خطى باشد.</w:t>
      </w:r>
    </w:p>
    <w:p w:rsidR="006E38C5" w:rsidRDefault="006E38C5" w:rsidP="006E38C5">
      <w:pPr>
        <w:pStyle w:val="Heading4"/>
        <w:bidi/>
        <w:rPr>
          <w:rFonts w:ascii="Arabic Transparent" w:hAnsi="Arabic Transparent" w:cs="Arabic Transparent"/>
          <w:rtl/>
        </w:rPr>
      </w:pPr>
      <w:r>
        <w:rPr>
          <w:rFonts w:ascii="Arabic Transparent" w:hAnsi="Arabic Transparent" w:cs="Arabic Transparent"/>
          <w:rtl/>
        </w:rPr>
        <w:t xml:space="preserve">3-2 روش شناسى كلى </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هدف مقاله مشخص كردن «ابعاد» اندازه اقتصاد زيرزمينى ايران در هر سال است. روش شناسى زير بطور معمول استنتاجى نيست و از رويكرد رگرسيونى كه از شاخصها و علتها استفاده مى‏كند، متفاوت است. براى سادگى ما در كاربرد روش خود تنها دو متغير علّى استفاده مى كنيم؛ يعنى متغيرهايى كه ـ بر مبناى نظريه اقتصادى و شواهد تجربى بين المللى گسترده‏ـ معتقديم عوامل اصلى تعيين كننده فعاليتهاى زيرزمينى باشد.</w:t>
      </w:r>
      <w:r>
        <w:rPr>
          <w:rFonts w:ascii="Arabic Transparent" w:hAnsi="Arabic Transparent" w:cs="Arabic Transparent"/>
          <w:vertAlign w:val="superscript"/>
          <w:rtl/>
        </w:rPr>
        <w:t>(3)</w:t>
      </w:r>
      <w:r>
        <w:rPr>
          <w:rFonts w:ascii="Arabic Transparent" w:hAnsi="Arabic Transparent" w:cs="Arabic Transparent"/>
          <w:rtl/>
        </w:rPr>
        <w:t xml:space="preserve"> اين متغيرها عبارتند از: نرخ مؤثر مالياتى (نسبت كل ماليات به توليد ناخالص داخلى)، </w:t>
      </w:r>
      <w:r>
        <w:rPr>
          <w:rFonts w:ascii="Arabic Transparent" w:hAnsi="Arabic Transparent" w:cs="Arabic Transparent"/>
        </w:rPr>
        <w:t>TR</w:t>
      </w:r>
      <w:r>
        <w:rPr>
          <w:rFonts w:ascii="Arabic Transparent" w:hAnsi="Arabic Transparent" w:cs="Arabic Transparent"/>
          <w:rtl/>
        </w:rPr>
        <w:t>، و شاخصى از مقررات (</w:t>
      </w:r>
      <w:r>
        <w:rPr>
          <w:rFonts w:ascii="Arabic Transparent" w:hAnsi="Arabic Transparent" w:cs="Arabic Transparent"/>
        </w:rPr>
        <w:t>Regulation) (REG</w:t>
      </w:r>
      <w:r>
        <w:rPr>
          <w:rFonts w:ascii="Arabic Transparent" w:hAnsi="Arabic Transparent" w:cs="Arabic Transparent"/>
          <w:rtl/>
        </w:rPr>
        <w:t xml:space="preserve"> )</w:t>
      </w:r>
      <w:r>
        <w:rPr>
          <w:rFonts w:ascii="Arabic Transparent" w:hAnsi="Arabic Transparent" w:cs="Arabic Transparent"/>
          <w:vertAlign w:val="superscript"/>
          <w:rtl/>
        </w:rPr>
        <w:t>(4)</w:t>
      </w:r>
      <w:r>
        <w:rPr>
          <w:rFonts w:ascii="Arabic Transparent" w:hAnsi="Arabic Transparent" w:cs="Arabic Transparent"/>
          <w:rtl/>
        </w:rPr>
        <w:t xml:space="preserve"> در ايران است. داده‏هاى مورد نياز محاسبه و در ساخت ميانگينهاى متحرك خاص در تحليل ما مورد استفاده قرار مى‏گيرد.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انتخاب اين دو متغير (نهاده‏اى) تا حدودى ذهنى است و كارهاى تحقيقاتى ديگرى در حال انجام است كه نتايج تغيير وتعديل داده‏ها را پيدا كند. بهر حال در هر حالت انتظار همراهى مثبتى ميان متغيرهاى علّى و اندازه اقتصاد زيرزمينى را در هر حالت انتظار داريم؛ يعنى به زبان فازى «اگر مالياتها بالا و درجه مقررات در اقتصاد بالا باشد انتظار داريم حجم اقتصاد زيرزمينى نيز بالا باشد.»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lastRenderedPageBreak/>
        <w:t>نه تنها انتخاب متغير هاى علّى ذهنى است ،بلكه مشخص كردن مرزهاى مجموعه‏هاى فازى نيز ذهنى خواهد بود. مثلاً اين كه در چه نقطه‏اى مالياتها از متوسط به بالا تغيير مى‏كنند و در چه سطحى درجه مقررات از پائين به خيلى پائين تغيير مى‏كند و نظاير اين موارد. در نتيجه لازم است آزمونهاى حساسيت صورت گيرد، تا استحكام نتايج در مقابل اين انتخابها يا انتخابهاى ديگر معين گردد.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با اين حال مهم است توجه كنيم كه لزومى ندارد، چيزى در باره فرم تابعى رابطه فرضى ميان مالياتها و درجه مقررات از يك طرف و اندازه اقتصاد زيرزمينى از طرف ديگر فرض كنيم .بنا براين در رويكرد پايه اى كه ما انتخاب مى‏كنيم، ابتدا مجموعه هاى فازى را كه با مقادير دو متغير علّى همراه است، مشخص مى‏كنيم، آنگاه براى هر متغير در هر سال مقادير همراهى را به سطوح ذهنى منتسب و سپس قواعد تصميم‏گيرى را براى تعيين سطحى براى شاخص اقتصاد زير زمينى با استفاده از عمل‏گرهاى فازى مورد استفاده قرار مى‏دهيم. جزئيات اين رويه در بخش بعدى ارائه شده است.</w:t>
      </w:r>
    </w:p>
    <w:p w:rsidR="006E38C5" w:rsidRDefault="006E38C5" w:rsidP="006E38C5">
      <w:pPr>
        <w:pStyle w:val="Heading3"/>
        <w:bidi/>
        <w:rPr>
          <w:rFonts w:ascii="Arabic Transparent" w:hAnsi="Arabic Transparent" w:cs="Arabic Transparent"/>
          <w:rtl/>
        </w:rPr>
      </w:pPr>
      <w:r>
        <w:rPr>
          <w:rFonts w:ascii="Arabic Transparent" w:hAnsi="Arabic Transparent" w:cs="Arabic Transparent"/>
          <w:rtl/>
        </w:rPr>
        <w:t>4- جزئيات تحليلى</w:t>
      </w:r>
    </w:p>
    <w:p w:rsidR="006E38C5" w:rsidRDefault="006E38C5" w:rsidP="006E38C5">
      <w:pPr>
        <w:pStyle w:val="Heading4"/>
        <w:bidi/>
        <w:rPr>
          <w:rFonts w:ascii="Arabic Transparent" w:hAnsi="Arabic Transparent" w:cs="Arabic Transparent"/>
          <w:rtl/>
        </w:rPr>
      </w:pPr>
      <w:r>
        <w:rPr>
          <w:rFonts w:ascii="Arabic Transparent" w:hAnsi="Arabic Transparent" w:cs="Arabic Transparent"/>
          <w:rtl/>
        </w:rPr>
        <w:t>1-4 نقاط شكست داده ها وسطوح همراهى (</w:t>
      </w:r>
      <w:r>
        <w:rPr>
          <w:rFonts w:ascii="Arabic Transparent" w:hAnsi="Arabic Transparent" w:cs="Arabic Transparent"/>
        </w:rPr>
        <w:t>Break-Point</w:t>
      </w:r>
      <w:r>
        <w:rPr>
          <w:rFonts w:ascii="Arabic Transparent" w:hAnsi="Arabic Transparent" w:cs="Arabic Transparent"/>
          <w:rtl/>
        </w:rPr>
        <w:t>)</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چندين راه ممكن براى ايجاد يك مقدار«پايه (</w:t>
      </w:r>
      <w:r>
        <w:rPr>
          <w:rFonts w:ascii="Arabic Transparent" w:hAnsi="Arabic Transparent" w:cs="Arabic Transparent"/>
        </w:rPr>
        <w:t>Bench</w:t>
      </w:r>
      <w:r>
        <w:rPr>
          <w:rFonts w:ascii="Arabic Transparent" w:hAnsi="Arabic Transparent" w:cs="Arabic Transparent"/>
          <w:rtl/>
        </w:rPr>
        <w:t xml:space="preserve">)» وجود دارد تا با آن منظور مان از «بالا»، «پائين» و غيره را مشخص كنيم. در اين جا ما يك مقدار ميانگين متحرك براى هر </w:t>
      </w:r>
      <w:r>
        <w:rPr>
          <w:rFonts w:ascii="Arabic Transparent" w:hAnsi="Arabic Transparent" w:cs="Arabic Transparent"/>
        </w:rPr>
        <w:t>TR</w:t>
      </w:r>
      <w:r>
        <w:rPr>
          <w:rFonts w:ascii="Arabic Transparent" w:hAnsi="Arabic Transparent" w:cs="Arabic Transparent"/>
          <w:rtl/>
        </w:rPr>
        <w:t>و هر</w:t>
      </w:r>
      <w:r>
        <w:rPr>
          <w:rFonts w:ascii="Arabic Transparent" w:hAnsi="Arabic Transparent" w:cs="Arabic Transparent"/>
        </w:rPr>
        <w:t>REG</w:t>
      </w:r>
      <w:r>
        <w:rPr>
          <w:rFonts w:ascii="Arabic Transparent" w:hAnsi="Arabic Transparent" w:cs="Arabic Transparent"/>
          <w:rtl/>
        </w:rPr>
        <w:t xml:space="preserve"> مورد استفاده قرار مى‏دهيم. براى اين كه اثر چرخه‏هاى احتمالى (ادوار تجارى) را از داده‏ها خارج كنيم، از ميانگين متحرك استفاده مى‏كنيم. داده‏ها را براساس ميانگين متحرك 6 ساله محاسبه مى‏كنيم، چون مى‏خواهيم، معيارى از اقتصاد زيرزمينى براى دوره 1343 تا 1378 داشته باشيم، اين كار از سال 1338 شروع مى‏شود. براى هر سرى و براى هر سال، متوسط مقدار گذشته داده‏ها، مقدار «نرمال» را به دست مى‏دهد. بنابراين در سال 1378 اين مقدار برابر است با متوسط داده‏هااز 1338 تا 1378. </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پس از آن كه مقادير نرمال براى هر</w:t>
      </w:r>
      <w:r>
        <w:rPr>
          <w:rFonts w:ascii="Arabic Transparent" w:hAnsi="Arabic Transparent" w:cs="Arabic Transparent"/>
        </w:rPr>
        <w:t>TR</w:t>
      </w:r>
      <w:r>
        <w:rPr>
          <w:rFonts w:ascii="Arabic Transparent" w:hAnsi="Arabic Transparent" w:cs="Arabic Transparent"/>
          <w:rtl/>
        </w:rPr>
        <w:t xml:space="preserve"> و</w:t>
      </w:r>
      <w:r>
        <w:rPr>
          <w:rFonts w:ascii="Arabic Transparent" w:hAnsi="Arabic Transparent" w:cs="Arabic Transparent"/>
        </w:rPr>
        <w:t>REG</w:t>
      </w:r>
      <w:r>
        <w:rPr>
          <w:rFonts w:ascii="Arabic Transparent" w:hAnsi="Arabic Transparent" w:cs="Arabic Transparent"/>
          <w:rtl/>
        </w:rPr>
        <w:t xml:space="preserve"> در هر سال از 1343 تا 1378 معين شد، سطوح همراهى كمى اندازه‏ها را محاسبه مى‏كنيم. اين كار را با محاسبه يك يا دو انحراف معيار نمونه حول وحوش مقدار نرمال در هر دوره انجام مى‏دهيم.</w:t>
      </w:r>
    </w:p>
    <w:tbl>
      <w:tblPr>
        <w:bidiVisual/>
        <w:tblW w:w="23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496"/>
      </w:tblGrid>
      <w:tr w:rsidR="006E38C5" w:rsidTr="006E38C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00" w:type="dxa"/>
            </w:tcMar>
            <w:vAlign w:val="center"/>
            <w:hideMark/>
          </w:tcPr>
          <w:p w:rsidR="006E38C5" w:rsidRDefault="006E38C5">
            <w:pPr>
              <w:bidi/>
              <w:rPr>
                <w:rFonts w:ascii="Arabic Transparent" w:hAnsi="Arabic Transparent" w:cs="Arabic Transparent"/>
                <w:sz w:val="24"/>
                <w:szCs w:val="24"/>
              </w:rPr>
            </w:pPr>
            <w:r>
              <w:rPr>
                <w:rFonts w:ascii="Arabic Transparent" w:hAnsi="Arabic Transparent" w:cs="Arabic Transparent"/>
                <w:rtl/>
              </w:rPr>
              <w:t>توليدناخالص داخلى / ماليات= نرخ موثرماليات :</w:t>
            </w:r>
            <w:r>
              <w:rPr>
                <w:rFonts w:ascii="Arabic Transparent" w:hAnsi="Arabic Transparent" w:cs="Arabic Transparent"/>
              </w:rPr>
              <w:t>TR</w:t>
            </w:r>
          </w:p>
        </w:tc>
      </w:tr>
    </w:tbl>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بسيار بالا بالا نرمال(معمولى) پائين خيلى پائين</w:t>
      </w:r>
    </w:p>
    <w:p w:rsidR="006E38C5" w:rsidRDefault="006E38C5" w:rsidP="006E38C5">
      <w:pPr>
        <w:pStyle w:val="Heading4"/>
        <w:bidi/>
        <w:rPr>
          <w:rFonts w:ascii="Arabic Transparent" w:hAnsi="Arabic Transparent" w:cs="Arabic Transparent"/>
          <w:rtl/>
        </w:rPr>
      </w:pPr>
      <w:r>
        <w:rPr>
          <w:rFonts w:ascii="Arabic Transparent" w:hAnsi="Arabic Transparent" w:cs="Arabic Transparent"/>
        </w:rPr>
        <w:t>VL L N H EX</w:t>
      </w:r>
    </w:p>
    <w:p w:rsidR="006E38C5" w:rsidRDefault="006E38C5" w:rsidP="006E38C5">
      <w:pPr>
        <w:pStyle w:val="Heading4"/>
        <w:bidi/>
        <w:rPr>
          <w:rFonts w:ascii="Arabic Transparent" w:hAnsi="Arabic Transparent" w:cs="Arabic Transparent"/>
          <w:rtl/>
        </w:rPr>
      </w:pPr>
      <w:r>
        <w:rPr>
          <w:rFonts w:ascii="Arabic Transparent" w:hAnsi="Arabic Transparent" w:cs="Arabic Transparent"/>
          <w:rtl/>
        </w:rPr>
        <w:t>2</w:t>
      </w:r>
      <w:r>
        <w:rPr>
          <w:rFonts w:ascii="Arabic Transparent" w:hAnsi="Arabic Transparent" w:cs="Arabic Transparent"/>
        </w:rPr>
        <w:t>SD +1SD</w:t>
      </w:r>
      <w:r>
        <w:rPr>
          <w:rFonts w:ascii="Arabic Transparent" w:hAnsi="Arabic Transparent" w:cs="Arabic Transparent"/>
          <w:rtl/>
        </w:rPr>
        <w:t>+ ميانگين 2</w:t>
      </w:r>
      <w:r>
        <w:rPr>
          <w:rFonts w:ascii="Arabic Transparent" w:hAnsi="Arabic Transparent" w:cs="Arabic Transparent"/>
        </w:rPr>
        <w:t>SD -1SD</w:t>
      </w:r>
      <w:r>
        <w:rPr>
          <w:rFonts w:ascii="Arabic Transparent" w:hAnsi="Arabic Transparent" w:cs="Arabic Transparent"/>
          <w:rtl/>
        </w:rPr>
        <w:t>-</w:t>
      </w:r>
    </w:p>
    <w:tbl>
      <w:tblPr>
        <w:bidiVisual/>
        <w:tblW w:w="23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496"/>
      </w:tblGrid>
      <w:tr w:rsidR="006E38C5" w:rsidTr="006E38C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00" w:type="dxa"/>
            </w:tcMar>
            <w:vAlign w:val="center"/>
            <w:hideMark/>
          </w:tcPr>
          <w:p w:rsidR="006E38C5" w:rsidRDefault="006E38C5">
            <w:pPr>
              <w:bidi/>
              <w:rPr>
                <w:rFonts w:ascii="Arabic Transparent" w:hAnsi="Arabic Transparent" w:cs="Arabic Transparent"/>
                <w:sz w:val="24"/>
                <w:szCs w:val="24"/>
              </w:rPr>
            </w:pPr>
            <w:r>
              <w:rPr>
                <w:rFonts w:ascii="Arabic Transparent" w:hAnsi="Arabic Transparent" w:cs="Arabic Transparent"/>
                <w:rtl/>
              </w:rPr>
              <w:t xml:space="preserve">شاخلص = سطح مقررات : </w:t>
            </w:r>
            <w:r>
              <w:rPr>
                <w:rFonts w:ascii="Arabic Transparent" w:hAnsi="Arabic Transparent" w:cs="Arabic Transparent"/>
              </w:rPr>
              <w:t>REG</w:t>
            </w:r>
          </w:p>
        </w:tc>
      </w:tr>
    </w:tbl>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بسيار بالا بالا نرمال(معمولى) پائين خيلى پائين</w:t>
      </w:r>
    </w:p>
    <w:p w:rsidR="006E38C5" w:rsidRDefault="006E38C5" w:rsidP="006E38C5">
      <w:pPr>
        <w:pStyle w:val="Heading4"/>
        <w:bidi/>
        <w:rPr>
          <w:rFonts w:ascii="Arabic Transparent" w:hAnsi="Arabic Transparent" w:cs="Arabic Transparent"/>
          <w:rtl/>
        </w:rPr>
      </w:pPr>
      <w:r>
        <w:rPr>
          <w:rFonts w:ascii="Arabic Transparent" w:hAnsi="Arabic Transparent" w:cs="Arabic Transparent"/>
        </w:rPr>
        <w:t>V L N H EX</w:t>
      </w:r>
    </w:p>
    <w:p w:rsidR="006E38C5" w:rsidRDefault="006E38C5" w:rsidP="006E38C5">
      <w:pPr>
        <w:pStyle w:val="Heading4"/>
        <w:bidi/>
        <w:rPr>
          <w:rFonts w:ascii="Arabic Transparent" w:hAnsi="Arabic Transparent" w:cs="Arabic Transparent"/>
          <w:rtl/>
        </w:rPr>
      </w:pPr>
      <w:r>
        <w:rPr>
          <w:rFonts w:ascii="Arabic Transparent" w:hAnsi="Arabic Transparent" w:cs="Arabic Transparent"/>
          <w:rtl/>
        </w:rPr>
        <w:t>2</w:t>
      </w:r>
      <w:r>
        <w:rPr>
          <w:rFonts w:ascii="Arabic Transparent" w:hAnsi="Arabic Transparent" w:cs="Arabic Transparent"/>
        </w:rPr>
        <w:t>SD +1SD</w:t>
      </w:r>
      <w:r>
        <w:rPr>
          <w:rFonts w:ascii="Arabic Transparent" w:hAnsi="Arabic Transparent" w:cs="Arabic Transparent"/>
          <w:rtl/>
        </w:rPr>
        <w:t>+ ميانگين 2</w:t>
      </w:r>
      <w:r>
        <w:rPr>
          <w:rFonts w:ascii="Arabic Transparent" w:hAnsi="Arabic Transparent" w:cs="Arabic Transparent"/>
        </w:rPr>
        <w:t>SD -1SD</w:t>
      </w:r>
      <w:r>
        <w:rPr>
          <w:rFonts w:ascii="Arabic Transparent" w:hAnsi="Arabic Transparent" w:cs="Arabic Transparent"/>
          <w:rtl/>
        </w:rPr>
        <w:t>-</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به اين تربيت دو مجموعه هر كدام با 5 عدد كه مربوط به</w:t>
      </w:r>
      <w:r>
        <w:rPr>
          <w:rFonts w:ascii="Arabic Transparent" w:hAnsi="Arabic Transparent" w:cs="Arabic Transparent"/>
        </w:rPr>
        <w:t>TR</w:t>
      </w:r>
      <w:r>
        <w:rPr>
          <w:rFonts w:ascii="Arabic Transparent" w:hAnsi="Arabic Transparent" w:cs="Arabic Transparent"/>
          <w:rtl/>
        </w:rPr>
        <w:t xml:space="preserve"> و </w:t>
      </w:r>
      <w:r>
        <w:rPr>
          <w:rFonts w:ascii="Arabic Transparent" w:hAnsi="Arabic Transparent" w:cs="Arabic Transparent"/>
        </w:rPr>
        <w:t>REG</w:t>
      </w:r>
      <w:r>
        <w:rPr>
          <w:rFonts w:ascii="Arabic Transparent" w:hAnsi="Arabic Transparent" w:cs="Arabic Transparent"/>
          <w:rtl/>
        </w:rPr>
        <w:t xml:space="preserve"> است ـ براى هر سال مورد بحث ـ ايجاد مى‏شود، ما اين دو مجموعه را در ادامه بحث ،نقاط شكست مى ناميم. براى مثال در سال 1375 نقاط شكست براى </w:t>
      </w:r>
      <w:r>
        <w:rPr>
          <w:rFonts w:ascii="Arabic Transparent" w:hAnsi="Arabic Transparent" w:cs="Arabic Transparent"/>
        </w:rPr>
        <w:t>TR</w:t>
      </w:r>
      <w:r>
        <w:rPr>
          <w:rFonts w:ascii="Arabic Transparent" w:hAnsi="Arabic Transparent" w:cs="Arabic Transparent"/>
          <w:rtl/>
        </w:rPr>
        <w:t xml:space="preserve">عبارتند از: 49737301/6، 7020198/5، «906666/4» ،111313495/4، 315960323/3 مقدارى كه در گيومه </w:t>
      </w:r>
      <w:r>
        <w:rPr>
          <w:rFonts w:ascii="Arabic Transparent" w:hAnsi="Arabic Transparent" w:cs="Arabic Transparent"/>
          <w:rtl/>
        </w:rPr>
        <w:lastRenderedPageBreak/>
        <w:t xml:space="preserve">نشان داده‏ايم يعنى 906666/4 ميانگين </w:t>
      </w:r>
      <w:r>
        <w:rPr>
          <w:rFonts w:ascii="Arabic Transparent" w:hAnsi="Arabic Transparent" w:cs="Arabic Transparent"/>
        </w:rPr>
        <w:t>TR</w:t>
      </w:r>
      <w:r>
        <w:rPr>
          <w:rFonts w:ascii="Arabic Transparent" w:hAnsi="Arabic Transparent" w:cs="Arabic Transparent"/>
          <w:rtl/>
        </w:rPr>
        <w:t xml:space="preserve"> در دوره 1370 تا 1375 است. به همين ترتيب مقدار 315960323/3 عبارت است از ميانگين فوق منهاى دو، زمان انحراف معيار در اين نمونه (متحرك) خاص است.</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 xml:space="preserve">سپس مقادير داده‏ها را با رده‏هاى اندازه‏ها مرتبط مى‏سازيم، براى مثال داده‏هاى فوق براى سال 1375 را در نظر بگيريد. مقدار واقعى داده براى </w:t>
      </w:r>
      <w:r>
        <w:rPr>
          <w:rFonts w:ascii="Arabic Transparent" w:hAnsi="Arabic Transparent" w:cs="Arabic Transparent"/>
        </w:rPr>
        <w:t>TR</w:t>
      </w:r>
      <w:r>
        <w:rPr>
          <w:rFonts w:ascii="Arabic Transparent" w:hAnsi="Arabic Transparent" w:cs="Arabic Transparent"/>
          <w:rtl/>
        </w:rPr>
        <w:t xml:space="preserve"> در اين سال برابر است با 28/5 كه آن را جايى ميان «معمولى» و «بالا» در آن سال قرار مى‏دهد. منطق فازى يا «چند ارزشى» از مجموعه‏هاى منعطف كه اعضاء آن بوسيله سطوح يا درجات همراهى، نه بوسيله وضعيت «عضويت همه يا هيچ»، تعريف مى شوند. بنابراين يك مقدار </w:t>
      </w:r>
      <w:r>
        <w:rPr>
          <w:rFonts w:ascii="Arabic Transparent" w:hAnsi="Arabic Transparent" w:cs="Arabic Transparent"/>
        </w:rPr>
        <w:t>TR</w:t>
      </w:r>
      <w:r>
        <w:rPr>
          <w:rFonts w:ascii="Arabic Transparent" w:hAnsi="Arabic Transparent" w:cs="Arabic Transparent"/>
          <w:rtl/>
        </w:rPr>
        <w:t xml:space="preserve"> يا </w:t>
      </w:r>
      <w:r>
        <w:rPr>
          <w:rFonts w:ascii="Arabic Transparent" w:hAnsi="Arabic Transparent" w:cs="Arabic Transparent"/>
        </w:rPr>
        <w:t>REG</w:t>
      </w:r>
      <w:r>
        <w:rPr>
          <w:rFonts w:ascii="Arabic Transparent" w:hAnsi="Arabic Transparent" w:cs="Arabic Transparent"/>
          <w:rtl/>
        </w:rPr>
        <w:t>مى‏تواند با بيش از يك مجموعه (يا در مثال ما سطح نسبى مقادير) همراه گردد.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 xml:space="preserve">در مثال فوق، مقدار </w:t>
      </w:r>
      <w:r>
        <w:rPr>
          <w:rFonts w:ascii="Arabic Transparent" w:hAnsi="Arabic Transparent" w:cs="Arabic Transparent"/>
        </w:rPr>
        <w:t>TR</w:t>
      </w:r>
      <w:r>
        <w:rPr>
          <w:rFonts w:ascii="Arabic Transparent" w:hAnsi="Arabic Transparent" w:cs="Arabic Transparent"/>
          <w:rtl/>
        </w:rPr>
        <w:t xml:space="preserve"> در سال 1375 هم «معمولى» است و هم «بالا» اما اين كه چگونه «معمولى» و چطور «بالا» است، به محل آن، نسبت به نقاط شكست مورد بحث، مربوط مى‏شود. در منطق فازى برقرارى سطوح همراهى بوسيله «توابع عضويت» انجام مى‏پذيرد. اين توابع عضويت مى‏تواند، بر اساس باورهاى قبلى اشكال مختلفى داشته باشد. بنابراين عنصر ديگرى از ذهنى بودن در تحليل وارد مى شود. در اين جا از معيار خطى ساده يا معيار فاصله براى نسبت دادن سطوح همراهى استفاده مى‏كنيم، براى مثال مقدار </w:t>
      </w:r>
      <w:r>
        <w:rPr>
          <w:rFonts w:ascii="Arabic Transparent" w:hAnsi="Arabic Transparent" w:cs="Arabic Transparent"/>
        </w:rPr>
        <w:t>TR</w:t>
      </w:r>
      <w:r>
        <w:rPr>
          <w:rFonts w:ascii="Arabic Transparent" w:hAnsi="Arabic Transparent" w:cs="Arabic Transparent"/>
          <w:rtl/>
        </w:rPr>
        <w:t xml:space="preserve"> در 1375 بيشتر به معمولى نزديك است تا بالا، و انتسابى هارمونيك مورد استفاده قرار مى‏گيرد. به بيان ديگر وزنها بطور معكوس به فاصله مرتبط مى‏گردد. اين كار از طريق تابع عضويت (انحراف معيار/^</w:t>
      </w:r>
      <w:proofErr w:type="spellStart"/>
      <w:r>
        <w:rPr>
          <w:rFonts w:ascii="Arabic Transparent" w:hAnsi="Arabic Transparent" w:cs="Arabic Transparent"/>
        </w:rPr>
        <w:t>i</w:t>
      </w:r>
      <w:proofErr w:type="spellEnd"/>
      <w:r>
        <w:rPr>
          <w:rFonts w:ascii="Arabic Transparent" w:hAnsi="Arabic Transparent" w:cs="Arabic Transparent"/>
        </w:rPr>
        <w:t>=1,2 ,</w:t>
      </w:r>
      <w:proofErr w:type="spellStart"/>
      <w:r>
        <w:rPr>
          <w:rFonts w:ascii="Arabic Transparent" w:hAnsi="Arabic Transparent" w:cs="Arabic Transparent"/>
        </w:rPr>
        <w:t>ui</w:t>
      </w:r>
      <w:proofErr w:type="spellEnd"/>
      <w:r>
        <w:rPr>
          <w:rFonts w:ascii="Arabic Transparent" w:hAnsi="Arabic Transparent" w:cs="Arabic Transparent"/>
        </w:rPr>
        <w:t>=</w:t>
      </w:r>
      <w:proofErr w:type="spellStart"/>
      <w:r>
        <w:rPr>
          <w:rFonts w:ascii="Arabic Transparent" w:hAnsi="Arabic Transparent" w:cs="Arabic Transparent"/>
        </w:rPr>
        <w:t>Xj</w:t>
      </w:r>
      <w:proofErr w:type="spellEnd"/>
      <w:r>
        <w:rPr>
          <w:rFonts w:ascii="Arabic Transparent" w:hAnsi="Arabic Transparent" w:cs="Arabic Transparent"/>
        </w:rPr>
        <w:t>-X</w:t>
      </w:r>
      <w:r>
        <w:rPr>
          <w:rFonts w:ascii="Arabic Transparent" w:hAnsi="Arabic Transparent" w:cs="Arabic Transparent"/>
          <w:rtl/>
        </w:rPr>
        <w:t xml:space="preserve">) صورت مى‏گيرد. كه در آن </w:t>
      </w:r>
      <w:proofErr w:type="spellStart"/>
      <w:r>
        <w:rPr>
          <w:rFonts w:ascii="Arabic Transparent" w:hAnsi="Arabic Transparent" w:cs="Arabic Transparent"/>
        </w:rPr>
        <w:t>i</w:t>
      </w:r>
      <w:proofErr w:type="spellEnd"/>
      <w:r>
        <w:rPr>
          <w:rFonts w:ascii="Arabic Transparent" w:hAnsi="Arabic Transparent" w:cs="Arabic Transparent"/>
        </w:rPr>
        <w:t xml:space="preserve"> m</w:t>
      </w:r>
      <w:r>
        <w:rPr>
          <w:rFonts w:ascii="Arabic Transparent" w:hAnsi="Arabic Transparent" w:cs="Arabic Transparent"/>
          <w:rtl/>
        </w:rPr>
        <w:t>تابع عضويت فازى براى سطح همراهى اول، ×</w:t>
      </w:r>
      <w:r>
        <w:rPr>
          <w:rFonts w:ascii="Arabic Transparent" w:hAnsi="Arabic Transparent" w:cs="Arabic Transparent"/>
        </w:rPr>
        <w:t>j</w:t>
      </w:r>
      <w:r>
        <w:rPr>
          <w:rFonts w:ascii="Arabic Transparent" w:hAnsi="Arabic Transparent" w:cs="Arabic Transparent"/>
          <w:rtl/>
        </w:rPr>
        <w:t xml:space="preserve"> سطح همراهى دوم،كه مقدار واقعى متغير ×مورد بررسى، بين اين دو قرار مى گيرد.</w:t>
      </w:r>
    </w:p>
    <w:p w:rsidR="006E38C5" w:rsidRDefault="006E38C5" w:rsidP="006E38C5">
      <w:pPr>
        <w:pStyle w:val="Heading4"/>
        <w:bidi/>
        <w:rPr>
          <w:rFonts w:ascii="Arabic Transparent" w:hAnsi="Arabic Transparent" w:cs="Arabic Transparent"/>
          <w:rtl/>
        </w:rPr>
      </w:pPr>
      <w:r>
        <w:rPr>
          <w:rFonts w:ascii="Arabic Transparent" w:hAnsi="Arabic Transparent" w:cs="Arabic Transparent"/>
        </w:rPr>
        <w:t>VL L N H EX</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000/0 4693932/0 53060679/0 000/0 000/0</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 xml:space="preserve">تابع عضويت فازى از نوعى كه در اين جا استفاده كرديم مشاهدات را حداكثر به دو سطح مقدار منتسب مى كند،كه مجموع وزنهاى آن برابريك است. به مشاهدات حدى </w:t>
      </w:r>
      <w:r>
        <w:rPr>
          <w:rFonts w:ascii="Arabic Transparent" w:hAnsi="Arabic Transparent" w:cs="Arabic Transparent"/>
        </w:rPr>
        <w:t>E</w:t>
      </w:r>
      <w:r>
        <w:rPr>
          <w:rFonts w:ascii="Arabic Transparent" w:hAnsi="Arabic Transparent" w:cs="Arabic Transparent"/>
          <w:rtl/>
        </w:rPr>
        <w:t>× كه پائين‏ترين نقطه شكست يا بالاترين نقطه شكست قرار مى‏گيرند، مقدار حدى همراهى برابر با سطح مرز خارجى مربوطه منتسب مى‏شود. مقدار يك كه با هر سطح ويژه‏اى منتسب مى‏شود، نشان دهنده عضويت كامل است؛ در حالى كه مقدار صفر عدم عضويت محض را نشان مى‏دهد.</w:t>
      </w:r>
    </w:p>
    <w:p w:rsidR="006E38C5" w:rsidRDefault="006E38C5" w:rsidP="006E38C5">
      <w:pPr>
        <w:pStyle w:val="Heading4"/>
        <w:bidi/>
        <w:rPr>
          <w:rFonts w:ascii="Arabic Transparent" w:hAnsi="Arabic Transparent" w:cs="Arabic Transparent"/>
          <w:rtl/>
        </w:rPr>
      </w:pPr>
      <w:r>
        <w:rPr>
          <w:rFonts w:ascii="Arabic Transparent" w:hAnsi="Arabic Transparent" w:cs="Arabic Transparent"/>
          <w:rtl/>
        </w:rPr>
        <w:t>2-4 سطح همراهى و قواعد تصميم (</w:t>
      </w:r>
      <w:r>
        <w:rPr>
          <w:rFonts w:ascii="Arabic Transparent" w:hAnsi="Arabic Transparent" w:cs="Arabic Transparent"/>
        </w:rPr>
        <w:t>Decision Rules</w:t>
      </w:r>
      <w:r>
        <w:rPr>
          <w:rFonts w:ascii="Arabic Transparent" w:hAnsi="Arabic Transparent" w:cs="Arabic Transparent"/>
          <w:rtl/>
        </w:rPr>
        <w:t>)</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سپس، قواعد تصميم‏گيرى را بوجود مى‏آوريم كه معين مى‏كند، چگونه سطوح ويژه همراهى‏براى هر</w:t>
      </w:r>
      <w:r>
        <w:rPr>
          <w:rFonts w:ascii="Arabic Transparent" w:hAnsi="Arabic Transparent" w:cs="Arabic Transparent"/>
        </w:rPr>
        <w:t>TR</w:t>
      </w:r>
      <w:r>
        <w:rPr>
          <w:rFonts w:ascii="Arabic Transparent" w:hAnsi="Arabic Transparent" w:cs="Arabic Transparent"/>
          <w:rtl/>
        </w:rPr>
        <w:t xml:space="preserve"> و </w:t>
      </w:r>
      <w:r>
        <w:rPr>
          <w:rFonts w:ascii="Arabic Transparent" w:hAnsi="Arabic Transparent" w:cs="Arabic Transparent"/>
        </w:rPr>
        <w:t>REG</w:t>
      </w:r>
      <w:r>
        <w:rPr>
          <w:rFonts w:ascii="Arabic Transparent" w:hAnsi="Arabic Transparent" w:cs="Arabic Transparent"/>
          <w:rtl/>
        </w:rPr>
        <w:t>با يكديگر تركيب مى‏شود تا سطوح همراهى براى اقتصاد زيرزمينى ايجاد گردد. اين قواعد بنا به ضرورت دلخواهانه است، اما روشى كه با آن منتسب مى‏كنيم را مى‏توان در جدول زير مشاهده كرد.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noProof/>
        </w:rPr>
        <w:lastRenderedPageBreak/>
        <w:drawing>
          <wp:inline distT="0" distB="0" distL="0" distR="0">
            <wp:extent cx="4286885" cy="6078855"/>
            <wp:effectExtent l="19050" t="0" r="0" b="0"/>
            <wp:docPr id="132" name="Picture 132" descr="http://www.hawzah.net/Per/Magazine/NM/027/NM027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hawzah.net/Per/Magazine/NM/027/NM027065.jpg"/>
                    <pic:cNvPicPr>
                      <a:picLocks noChangeAspect="1" noChangeArrowheads="1"/>
                    </pic:cNvPicPr>
                  </pic:nvPicPr>
                  <pic:blipFill>
                    <a:blip r:embed="rId5"/>
                    <a:srcRect/>
                    <a:stretch>
                      <a:fillRect/>
                    </a:stretch>
                  </pic:blipFill>
                  <pic:spPr bwMode="auto">
                    <a:xfrm>
                      <a:off x="0" y="0"/>
                      <a:ext cx="4286885" cy="6078855"/>
                    </a:xfrm>
                    <a:prstGeom prst="rect">
                      <a:avLst/>
                    </a:prstGeom>
                    <a:noFill/>
                    <a:ln w="9525">
                      <a:noFill/>
                      <a:miter lim="800000"/>
                      <a:headEnd/>
                      <a:tailEnd/>
                    </a:ln>
                  </pic:spPr>
                </pic:pic>
              </a:graphicData>
            </a:graphic>
          </wp:inline>
        </w:drawing>
      </w:r>
    </w:p>
    <w:p w:rsidR="006E38C5" w:rsidRDefault="006E38C5" w:rsidP="006E38C5">
      <w:pPr>
        <w:pStyle w:val="NormalWeb"/>
        <w:rPr>
          <w:rFonts w:ascii="Arabic Transparent" w:hAnsi="Arabic Transparent" w:cs="Arabic Transparent"/>
          <w:rtl/>
        </w:rPr>
      </w:pPr>
      <w:r>
        <w:rPr>
          <w:rFonts w:ascii="Arabic Transparent" w:hAnsi="Arabic Transparent" w:cs="Arabic Transparent"/>
        </w:rPr>
        <w:t>E</w:t>
      </w:r>
      <w:r>
        <w:rPr>
          <w:rFonts w:ascii="Arabic Transparent" w:hAnsi="Arabic Transparent" w:cs="Arabic Transparent"/>
          <w:rtl/>
        </w:rPr>
        <w:t xml:space="preserve"> = خيلى‏بالا، </w:t>
      </w:r>
      <w:r>
        <w:rPr>
          <w:rFonts w:ascii="Arabic Transparent" w:hAnsi="Arabic Transparent" w:cs="Arabic Transparent"/>
        </w:rPr>
        <w:t>H</w:t>
      </w:r>
      <w:r>
        <w:rPr>
          <w:rFonts w:ascii="Arabic Transparent" w:hAnsi="Arabic Transparent" w:cs="Arabic Transparent"/>
          <w:rtl/>
        </w:rPr>
        <w:t xml:space="preserve">=بالا، </w:t>
      </w:r>
      <w:r>
        <w:rPr>
          <w:rFonts w:ascii="Arabic Transparent" w:hAnsi="Arabic Transparent" w:cs="Arabic Transparent"/>
        </w:rPr>
        <w:t>N</w:t>
      </w:r>
      <w:r>
        <w:rPr>
          <w:rFonts w:ascii="Arabic Transparent" w:hAnsi="Arabic Transparent" w:cs="Arabic Transparent"/>
          <w:rtl/>
        </w:rPr>
        <w:t xml:space="preserve"> =</w:t>
      </w:r>
      <w:proofErr w:type="gramStart"/>
      <w:r>
        <w:rPr>
          <w:rFonts w:ascii="Arabic Transparent" w:hAnsi="Arabic Transparent" w:cs="Arabic Transparent"/>
          <w:rtl/>
        </w:rPr>
        <w:t>نرمال(</w:t>
      </w:r>
      <w:proofErr w:type="gramEnd"/>
      <w:r>
        <w:rPr>
          <w:rFonts w:ascii="Arabic Transparent" w:hAnsi="Arabic Transparent" w:cs="Arabic Transparent"/>
          <w:rtl/>
        </w:rPr>
        <w:t xml:space="preserve">معمولى)، </w:t>
      </w:r>
      <w:r>
        <w:rPr>
          <w:rFonts w:ascii="Arabic Transparent" w:hAnsi="Arabic Transparent" w:cs="Arabic Transparent"/>
        </w:rPr>
        <w:t>L</w:t>
      </w:r>
      <w:r>
        <w:rPr>
          <w:rFonts w:ascii="Arabic Transparent" w:hAnsi="Arabic Transparent" w:cs="Arabic Transparent"/>
          <w:rtl/>
        </w:rPr>
        <w:t xml:space="preserve"> =پائين، </w:t>
      </w:r>
      <w:r>
        <w:rPr>
          <w:rFonts w:ascii="Arabic Transparent" w:hAnsi="Arabic Transparent" w:cs="Arabic Transparent"/>
        </w:rPr>
        <w:t>VL</w:t>
      </w:r>
      <w:r>
        <w:rPr>
          <w:rFonts w:ascii="Arabic Transparent" w:hAnsi="Arabic Transparent" w:cs="Arabic Transparent"/>
          <w:rtl/>
        </w:rPr>
        <w:t xml:space="preserve">= خيلى پائين </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Pr>
        <w:t>VB</w:t>
      </w:r>
      <w:r>
        <w:rPr>
          <w:rFonts w:ascii="Arabic Transparent" w:hAnsi="Arabic Transparent" w:cs="Arabic Transparent"/>
          <w:rtl/>
        </w:rPr>
        <w:t xml:space="preserve"> = خيلى بزرگ، </w:t>
      </w:r>
      <w:r>
        <w:rPr>
          <w:rFonts w:ascii="Arabic Transparent" w:hAnsi="Arabic Transparent" w:cs="Arabic Transparent"/>
        </w:rPr>
        <w:t>B</w:t>
      </w:r>
      <w:r>
        <w:rPr>
          <w:rFonts w:ascii="Arabic Transparent" w:hAnsi="Arabic Transparent" w:cs="Arabic Transparent"/>
          <w:rtl/>
        </w:rPr>
        <w:t xml:space="preserve"> =بزرگ ،</w:t>
      </w:r>
      <w:r>
        <w:rPr>
          <w:rFonts w:ascii="Arabic Transparent" w:hAnsi="Arabic Transparent" w:cs="Arabic Transparent"/>
        </w:rPr>
        <w:t>A</w:t>
      </w:r>
      <w:r>
        <w:rPr>
          <w:rFonts w:ascii="Arabic Transparent" w:hAnsi="Arabic Transparent" w:cs="Arabic Transparent"/>
          <w:rtl/>
        </w:rPr>
        <w:t xml:space="preserve"> =متوسط، </w:t>
      </w:r>
      <w:r>
        <w:rPr>
          <w:rFonts w:ascii="Arabic Transparent" w:hAnsi="Arabic Transparent" w:cs="Arabic Transparent"/>
        </w:rPr>
        <w:t>S</w:t>
      </w:r>
      <w:r>
        <w:rPr>
          <w:rFonts w:ascii="Arabic Transparent" w:hAnsi="Arabic Transparent" w:cs="Arabic Transparent"/>
          <w:rtl/>
        </w:rPr>
        <w:t>=كوچك،</w:t>
      </w:r>
      <w:r>
        <w:rPr>
          <w:rFonts w:ascii="Arabic Transparent" w:hAnsi="Arabic Transparent" w:cs="Arabic Transparent"/>
        </w:rPr>
        <w:t>VS</w:t>
      </w:r>
      <w:r>
        <w:rPr>
          <w:rFonts w:ascii="Arabic Transparent" w:hAnsi="Arabic Transparent" w:cs="Arabic Transparent"/>
          <w:rtl/>
        </w:rPr>
        <w:t xml:space="preserve"> =خيلى‏كوچك </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جدول فوق با استفاده از ملاكهاى ساده تصميم‏گيرى «اگر-آنگاه» تفسير مى‏شود. براى مثال در سال 1375،</w:t>
      </w:r>
      <w:r>
        <w:rPr>
          <w:rFonts w:ascii="Arabic Transparent" w:hAnsi="Arabic Transparent" w:cs="Arabic Transparent"/>
        </w:rPr>
        <w:t>TR</w:t>
      </w:r>
      <w:r>
        <w:rPr>
          <w:rFonts w:ascii="Arabic Transparent" w:hAnsi="Arabic Transparent" w:cs="Arabic Transparent"/>
          <w:rtl/>
        </w:rPr>
        <w:t xml:space="preserve"> با «معمولى» و با «بالا» منتسب شده است. بنابراين با استفاده از قاعده 12 فوق مى‏گوئيم اقتصاد زيرزمينى «بزرگ» است. ساخت قواعد در جدول تا حدودى اختيارى است. قواعد پايه (1،7،13،19،25) را مى‏توان بطور مستقيم منتسب كرد و سپس از روش ليندستروم (</w:t>
      </w:r>
      <w:r>
        <w:rPr>
          <w:rFonts w:ascii="Arabic Transparent" w:hAnsi="Arabic Transparent" w:cs="Arabic Transparent"/>
        </w:rPr>
        <w:t>Lindstrom) (1987</w:t>
      </w:r>
      <w:r>
        <w:rPr>
          <w:rFonts w:ascii="Arabic Transparent" w:hAnsi="Arabic Transparent" w:cs="Arabic Transparent"/>
          <w:rtl/>
        </w:rPr>
        <w:t>) براى منتسب كردن بقيه بطور متقارن استفاده شده است.</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 xml:space="preserve">ستون درجه در جدول فوق، درجه كمى شدن همراهى براى سرى اقتصاد زيرزمينى به دست مى‏دهد. براى مثال، با استفاده مثال 1375، قاعده 12 اقتصاد زيرزمينى را با بزرگ متوسط با 8/0 منتسب مى‏كند. اين موضوع نشان مى‏دهد </w:t>
      </w:r>
      <w:r>
        <w:rPr>
          <w:rFonts w:ascii="Arabic Transparent" w:hAnsi="Arabic Transparent" w:cs="Arabic Transparent"/>
          <w:rtl/>
        </w:rPr>
        <w:lastRenderedPageBreak/>
        <w:t>كه اقتصاد زير زمينى در آن سال بطور كامل با «بزرگ» منتسب نشده است. بلكه به ميزان 8/0 منتسب شده است .مجددا در انتساب اين درجه نيز قضاوتى، رفتار كرده‏ايم.</w:t>
      </w:r>
    </w:p>
    <w:p w:rsidR="006E38C5" w:rsidRDefault="006E38C5" w:rsidP="006E38C5">
      <w:pPr>
        <w:pStyle w:val="Heading4"/>
        <w:bidi/>
        <w:rPr>
          <w:rFonts w:ascii="Arabic Transparent" w:hAnsi="Arabic Transparent" w:cs="Arabic Transparent"/>
          <w:rtl/>
        </w:rPr>
      </w:pPr>
      <w:r>
        <w:rPr>
          <w:rFonts w:ascii="Arabic Transparent" w:hAnsi="Arabic Transparent" w:cs="Arabic Transparent"/>
          <w:rtl/>
        </w:rPr>
        <w:t>3-4 استخراج سرى اقتصاد زيرزمينى</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 xml:space="preserve">آخرين مرحله از تحليل شامل استخراج سريهاى عددى براى اقتصاد زيرزمينى است. اين كار با منتسب ساختن مقادير، 0، 25/0، 5/0، 75/0 و 1، به سطح بسيار كوچك، كوچك، متوسط، بزرگ و بسياربزرگ براى اقتصاد زيرزمينى صورت گرفته است، كه در اينجا بوسيله سطوح ذيربط همراهى وزن‏دار شده‏اند. بخاطر آوريد كه براى هر مشاهده </w:t>
      </w:r>
      <w:r>
        <w:rPr>
          <w:rFonts w:ascii="Arabic Transparent" w:hAnsi="Arabic Transparent" w:cs="Arabic Transparent"/>
        </w:rPr>
        <w:t>TR</w:t>
      </w:r>
      <w:r>
        <w:rPr>
          <w:rFonts w:ascii="Arabic Transparent" w:hAnsi="Arabic Transparent" w:cs="Arabic Transparent"/>
          <w:rtl/>
        </w:rPr>
        <w:t xml:space="preserve"> و </w:t>
      </w:r>
      <w:r>
        <w:rPr>
          <w:rFonts w:ascii="Arabic Transparent" w:hAnsi="Arabic Transparent" w:cs="Arabic Transparent"/>
        </w:rPr>
        <w:t>REG</w:t>
      </w:r>
      <w:r>
        <w:rPr>
          <w:rFonts w:ascii="Arabic Transparent" w:hAnsi="Arabic Transparent" w:cs="Arabic Transparent"/>
          <w:rtl/>
        </w:rPr>
        <w:t>حداكثر 2 مقدار همراهى وجود دارد. بنابراين حداكثر 4=2×2 قاعده تصميم‏گيرى براى هر مقدار اقتصاد زيرزمينى كه ايجاد مى‏شود فعال خواهد بود. در اين جا عملگرهاى فازى «</w:t>
      </w:r>
      <w:r>
        <w:rPr>
          <w:rFonts w:ascii="Arabic Transparent" w:hAnsi="Arabic Transparent" w:cs="Arabic Transparent"/>
        </w:rPr>
        <w:t>min</w:t>
      </w:r>
      <w:r>
        <w:rPr>
          <w:rFonts w:ascii="Arabic Transparent" w:hAnsi="Arabic Transparent" w:cs="Arabic Transparent"/>
          <w:rtl/>
        </w:rPr>
        <w:t>» و «</w:t>
      </w:r>
      <w:r>
        <w:rPr>
          <w:rFonts w:ascii="Arabic Transparent" w:hAnsi="Arabic Transparent" w:cs="Arabic Transparent"/>
        </w:rPr>
        <w:t>max</w:t>
      </w:r>
      <w:r>
        <w:rPr>
          <w:rFonts w:ascii="Arabic Transparent" w:hAnsi="Arabic Transparent" w:cs="Arabic Transparent"/>
          <w:rtl/>
        </w:rPr>
        <w:t>» به جاى عملگرهاى معمولى «</w:t>
      </w:r>
      <w:r>
        <w:rPr>
          <w:rFonts w:ascii="Arabic Transparent" w:hAnsi="Arabic Transparent" w:cs="Arabic Transparent"/>
        </w:rPr>
        <w:t>AND</w:t>
      </w:r>
      <w:r>
        <w:rPr>
          <w:rFonts w:ascii="Arabic Transparent" w:hAnsi="Arabic Transparent" w:cs="Arabic Transparent"/>
          <w:rtl/>
        </w:rPr>
        <w:t>» و «</w:t>
      </w:r>
      <w:r>
        <w:rPr>
          <w:rFonts w:ascii="Arabic Transparent" w:hAnsi="Arabic Transparent" w:cs="Arabic Transparent"/>
        </w:rPr>
        <w:t>OR</w:t>
      </w:r>
      <w:r>
        <w:rPr>
          <w:rFonts w:ascii="Arabic Transparent" w:hAnsi="Arabic Transparent" w:cs="Arabic Transparent"/>
          <w:rtl/>
        </w:rPr>
        <w:t>» عمل مى‏كنند، بنابراين در 1375 مقادير انتسابى براى 4 سطح متفاوت اندازه‏ها به قرار زير است.</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 xml:space="preserve">«بالا» «نرمال» </w:t>
      </w:r>
      <w:r>
        <w:rPr>
          <w:rFonts w:ascii="Arabic Transparent" w:hAnsi="Arabic Transparent" w:cs="Arabic Transparent"/>
        </w:rPr>
        <w:t>TR</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4693932/0 530606798/0</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 xml:space="preserve">«بالا» «پايين» </w:t>
      </w:r>
      <w:r>
        <w:rPr>
          <w:rFonts w:ascii="Arabic Transparent" w:hAnsi="Arabic Transparent" w:cs="Arabic Transparent"/>
        </w:rPr>
        <w:t>REG</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82098986/0 179010/0</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براى سال 1375 ،چهار سطح اندازه وجود دارد كه چهار تركيب ممكن را موارد زير تشكيل مى‏دهد.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noProof/>
        </w:rPr>
        <w:drawing>
          <wp:inline distT="0" distB="0" distL="0" distR="0">
            <wp:extent cx="4001135" cy="1828800"/>
            <wp:effectExtent l="19050" t="0" r="0" b="0"/>
            <wp:docPr id="133" name="Picture 133" descr="http://www.hawzah.net/Per/Magazine/NM/027/NM027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hawzah.net/Per/Magazine/NM/027/NM027067.jpg"/>
                    <pic:cNvPicPr>
                      <a:picLocks noChangeAspect="1" noChangeArrowheads="1"/>
                    </pic:cNvPicPr>
                  </pic:nvPicPr>
                  <pic:blipFill>
                    <a:blip r:embed="rId6"/>
                    <a:srcRect/>
                    <a:stretch>
                      <a:fillRect/>
                    </a:stretch>
                  </pic:blipFill>
                  <pic:spPr bwMode="auto">
                    <a:xfrm>
                      <a:off x="0" y="0"/>
                      <a:ext cx="4001135" cy="1828800"/>
                    </a:xfrm>
                    <a:prstGeom prst="rect">
                      <a:avLst/>
                    </a:prstGeom>
                    <a:noFill/>
                    <a:ln w="9525">
                      <a:noFill/>
                      <a:miter lim="800000"/>
                      <a:headEnd/>
                      <a:tailEnd/>
                    </a:ln>
                  </pic:spPr>
                </pic:pic>
              </a:graphicData>
            </a:graphic>
          </wp:inline>
        </w:drawing>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 xml:space="preserve">از قواعد تصميم‏گيرى مندرج در جدول قبلى هر تركيبى از سطح </w:t>
      </w:r>
      <w:r>
        <w:rPr>
          <w:rFonts w:ascii="Arabic Transparent" w:hAnsi="Arabic Transparent" w:cs="Arabic Transparent"/>
        </w:rPr>
        <w:t>TR</w:t>
      </w:r>
      <w:r>
        <w:rPr>
          <w:rFonts w:ascii="Arabic Transparent" w:hAnsi="Arabic Transparent" w:cs="Arabic Transparent"/>
          <w:rtl/>
        </w:rPr>
        <w:t xml:space="preserve"> و</w:t>
      </w:r>
      <w:r>
        <w:rPr>
          <w:rFonts w:ascii="Arabic Transparent" w:hAnsi="Arabic Transparent" w:cs="Arabic Transparent"/>
        </w:rPr>
        <w:t>REG</w:t>
      </w:r>
      <w:r>
        <w:rPr>
          <w:rFonts w:ascii="Arabic Transparent" w:hAnsi="Arabic Transparent" w:cs="Arabic Transparent"/>
          <w:rtl/>
        </w:rPr>
        <w:t xml:space="preserve"> با يك سطح اندازه براى اقتصاد زيرزمينى همراه با يك درجه (</w:t>
      </w:r>
      <w:r>
        <w:rPr>
          <w:rFonts w:ascii="Arabic Transparent" w:hAnsi="Arabic Transparent" w:cs="Arabic Transparent"/>
        </w:rPr>
        <w:t>VS</w:t>
      </w:r>
      <w:r>
        <w:rPr>
          <w:rFonts w:ascii="Arabic Transparent" w:hAnsi="Arabic Transparent" w:cs="Arabic Transparent"/>
          <w:rtl/>
        </w:rPr>
        <w:t xml:space="preserve"> خيلى‏كوچك،</w:t>
      </w:r>
      <w:r>
        <w:rPr>
          <w:rFonts w:ascii="Arabic Transparent" w:hAnsi="Arabic Transparent" w:cs="Arabic Transparent"/>
        </w:rPr>
        <w:t>S</w:t>
      </w:r>
      <w:r>
        <w:rPr>
          <w:rFonts w:ascii="Arabic Transparent" w:hAnsi="Arabic Transparent" w:cs="Arabic Transparent"/>
          <w:rtl/>
        </w:rPr>
        <w:t xml:space="preserve"> كوچك، </w:t>
      </w:r>
      <w:r>
        <w:rPr>
          <w:rFonts w:ascii="Arabic Transparent" w:hAnsi="Arabic Transparent" w:cs="Arabic Transparent"/>
        </w:rPr>
        <w:t>A</w:t>
      </w:r>
      <w:r>
        <w:rPr>
          <w:rFonts w:ascii="Arabic Transparent" w:hAnsi="Arabic Transparent" w:cs="Arabic Transparent"/>
          <w:rtl/>
        </w:rPr>
        <w:t xml:space="preserve">متوسط، </w:t>
      </w:r>
      <w:r>
        <w:rPr>
          <w:rFonts w:ascii="Arabic Transparent" w:hAnsi="Arabic Transparent" w:cs="Arabic Transparent"/>
        </w:rPr>
        <w:t>B</w:t>
      </w:r>
      <w:r>
        <w:rPr>
          <w:rFonts w:ascii="Arabic Transparent" w:hAnsi="Arabic Transparent" w:cs="Arabic Transparent"/>
          <w:rtl/>
        </w:rPr>
        <w:t xml:space="preserve"> بزرگ،</w:t>
      </w:r>
      <w:r>
        <w:rPr>
          <w:rFonts w:ascii="Arabic Transparent" w:hAnsi="Arabic Transparent" w:cs="Arabic Transparent"/>
        </w:rPr>
        <w:t>VB</w:t>
      </w:r>
      <w:r>
        <w:rPr>
          <w:rFonts w:ascii="Arabic Transparent" w:hAnsi="Arabic Transparent" w:cs="Arabic Transparent"/>
          <w:rtl/>
        </w:rPr>
        <w:t xml:space="preserve"> خيلى بزرگ) منتسب مى‏گردد. نخستين تركيب در اين مثال يعنى تركيب 1 براى</w:t>
      </w:r>
      <w:r>
        <w:rPr>
          <w:rFonts w:ascii="Arabic Transparent" w:hAnsi="Arabic Transparent" w:cs="Arabic Transparent"/>
        </w:rPr>
        <w:t>TR</w:t>
      </w:r>
      <w:r>
        <w:rPr>
          <w:rFonts w:ascii="Arabic Transparent" w:hAnsi="Arabic Transparent" w:cs="Arabic Transparent"/>
          <w:rtl/>
        </w:rPr>
        <w:t xml:space="preserve"> معمولى و براى</w:t>
      </w:r>
      <w:r>
        <w:rPr>
          <w:rFonts w:ascii="Arabic Transparent" w:hAnsi="Arabic Transparent" w:cs="Arabic Transparent"/>
        </w:rPr>
        <w:t>REG</w:t>
      </w:r>
      <w:r>
        <w:rPr>
          <w:rFonts w:ascii="Arabic Transparent" w:hAnsi="Arabic Transparent" w:cs="Arabic Transparent"/>
          <w:rtl/>
        </w:rPr>
        <w:t xml:space="preserve"> پايين را منتسب مى‏كند تا سطح كوچك با درجه 8/0 براى سرى اقتصاد زيرزمينى بدست آيد. سطح معمولى براى</w:t>
      </w:r>
      <w:r>
        <w:rPr>
          <w:rFonts w:ascii="Arabic Transparent" w:hAnsi="Arabic Transparent" w:cs="Arabic Transparent"/>
        </w:rPr>
        <w:t>TR 53060798/0</w:t>
      </w:r>
      <w:r>
        <w:rPr>
          <w:rFonts w:ascii="Arabic Transparent" w:hAnsi="Arabic Transparent" w:cs="Arabic Transparent"/>
          <w:rtl/>
        </w:rPr>
        <w:t xml:space="preserve"> و سطح پايين براى </w:t>
      </w:r>
      <w:r>
        <w:rPr>
          <w:rFonts w:ascii="Arabic Transparent" w:hAnsi="Arabic Transparent" w:cs="Arabic Transparent"/>
        </w:rPr>
        <w:t>REG17901/0</w:t>
      </w:r>
      <w:r>
        <w:rPr>
          <w:rFonts w:ascii="Arabic Transparent" w:hAnsi="Arabic Transparent" w:cs="Arabic Transparent"/>
          <w:rtl/>
        </w:rPr>
        <w:t>، استفاده از عملگر «</w:t>
      </w:r>
      <w:r>
        <w:rPr>
          <w:rFonts w:ascii="Arabic Transparent" w:hAnsi="Arabic Transparent" w:cs="Arabic Transparent"/>
        </w:rPr>
        <w:t>AND» (min</w:t>
      </w:r>
      <w:r>
        <w:rPr>
          <w:rFonts w:ascii="Arabic Transparent" w:hAnsi="Arabic Transparent" w:cs="Arabic Transparent"/>
          <w:rtl/>
        </w:rPr>
        <w:t>) به انتخاب مقدار كمتر17901/0 منجر مى‏شود تا در مقدار درجه براى سطح اقتصاد زيرزمينى (كه در اين جا 8/0است) ضرب شود.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ستون سوم تحت عنوان در جه يا سطح اقتصاد زيرزمينى محاسبات را تا اين نقطه نشان مى‏دهد.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اين سطوح نشان مى‏دهد سطح «كوچك»</w:t>
      </w:r>
      <w:r>
        <w:rPr>
          <w:rFonts w:ascii="Arabic Transparent" w:hAnsi="Arabic Transparent" w:cs="Arabic Transparent"/>
        </w:rPr>
        <w:t>S</w:t>
      </w:r>
      <w:r>
        <w:rPr>
          <w:rFonts w:ascii="Arabic Transparent" w:hAnsi="Arabic Transparent" w:cs="Arabic Transparent"/>
          <w:rtl/>
        </w:rPr>
        <w:t xml:space="preserve"> به اقتصاد زير زمينى با درجه 8/0 منتسب مى‏گردد، اين درجه در </w:t>
      </w:r>
      <w:r>
        <w:rPr>
          <w:rFonts w:ascii="Arabic Transparent" w:hAnsi="Arabic Transparent" w:cs="Arabic Transparent"/>
        </w:rPr>
        <w:t>min</w:t>
      </w:r>
      <w:r>
        <w:rPr>
          <w:rFonts w:ascii="Arabic Transparent" w:hAnsi="Arabic Transparent" w:cs="Arabic Transparent"/>
          <w:rtl/>
        </w:rPr>
        <w:t xml:space="preserve">، </w:t>
      </w:r>
      <w:r>
        <w:rPr>
          <w:rFonts w:ascii="Arabic Transparent" w:hAnsi="Arabic Transparent" w:cs="Arabic Transparent"/>
        </w:rPr>
        <w:t>TR</w:t>
      </w:r>
      <w:r>
        <w:rPr>
          <w:rFonts w:ascii="Arabic Transparent" w:hAnsi="Arabic Transparent" w:cs="Arabic Transparent"/>
          <w:rtl/>
        </w:rPr>
        <w:t xml:space="preserve"> «معمولى» يا </w:t>
      </w:r>
      <w:r>
        <w:rPr>
          <w:rFonts w:ascii="Arabic Transparent" w:hAnsi="Arabic Transparent" w:cs="Arabic Transparent"/>
        </w:rPr>
        <w:t>REG</w:t>
      </w:r>
      <w:r>
        <w:rPr>
          <w:rFonts w:ascii="Arabic Transparent" w:hAnsi="Arabic Transparent" w:cs="Arabic Transparent"/>
          <w:rtl/>
        </w:rPr>
        <w:t xml:space="preserve"> «پايين» كه در اين جا برابر با 17901/، است ضرب مى‏شود.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lastRenderedPageBreak/>
        <w:t>آخرين ستون استفاده از عملگر</w:t>
      </w:r>
      <w:r>
        <w:rPr>
          <w:rFonts w:ascii="Arabic Transparent" w:hAnsi="Arabic Transparent" w:cs="Arabic Transparent"/>
        </w:rPr>
        <w:t>OR (max</w:t>
      </w:r>
      <w:r>
        <w:rPr>
          <w:rFonts w:ascii="Arabic Transparent" w:hAnsi="Arabic Transparent" w:cs="Arabic Transparent"/>
          <w:rtl/>
        </w:rPr>
        <w:t xml:space="preserve">) فازى را در بردارد. براى سال 1375، قواعد تصميم‏گيرى 17و13 فعال مى‏شود كه هر دو به سطح </w:t>
      </w:r>
      <w:r>
        <w:rPr>
          <w:rFonts w:ascii="Arabic Transparent" w:hAnsi="Arabic Transparent" w:cs="Arabic Transparent"/>
        </w:rPr>
        <w:t>A</w:t>
      </w:r>
      <w:r>
        <w:rPr>
          <w:rFonts w:ascii="Arabic Transparent" w:hAnsi="Arabic Transparent" w:cs="Arabic Transparent"/>
          <w:rtl/>
        </w:rPr>
        <w:t xml:space="preserve"> (متوسط) منجر مى‏شود و اين پرسش را پيش مى‏آورد كه كدام متوسط بايد انتخاب شود. زيرا هر دو نمى‏توانند در آن واحد صحيح باشد. عملگر </w:t>
      </w:r>
      <w:r>
        <w:rPr>
          <w:rFonts w:ascii="Arabic Transparent" w:hAnsi="Arabic Transparent" w:cs="Arabic Transparent"/>
        </w:rPr>
        <w:t>OR</w:t>
      </w:r>
      <w:r>
        <w:rPr>
          <w:rFonts w:ascii="Arabic Transparent" w:hAnsi="Arabic Transparent" w:cs="Arabic Transparent"/>
          <w:rtl/>
        </w:rPr>
        <w:t>كه در اين جا بكار مى‏رود، مقدار بزرگتر 530606798/، را برمى‏گزيند (و بنابراين مقدار 179010/، را ناديده مى‏گيريم).</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وظيفه آخر منتسب كردن مقادير براى سطوح اقتصاد زيرزمينى است. به ياد آوريد كه اين مقادير 0 و 25/. و 75/. و 1 بودند كه به ترتيب با سطوح بسيار كوچك، كوچك، متوسط، بزرگ و بسياربزرگ براى اقتصاد زيرزمينى منتسب شدند، مجددا با مثال 1375، به طريق زير عمل مى‏كنيم.</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وزن ارزش سطح</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 xml:space="preserve">25/0 143208/ 0 </w:t>
      </w:r>
      <w:r>
        <w:rPr>
          <w:rFonts w:ascii="Arabic Transparent" w:hAnsi="Arabic Transparent" w:cs="Arabic Transparent"/>
        </w:rPr>
        <w:t>S</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 xml:space="preserve">5/0 530606798/ 0 </w:t>
      </w:r>
      <w:r>
        <w:rPr>
          <w:rFonts w:ascii="Arabic Transparent" w:hAnsi="Arabic Transparent" w:cs="Arabic Transparent"/>
        </w:rPr>
        <w:t>A</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 xml:space="preserve">75/0 4693932/0 </w:t>
      </w:r>
      <w:r>
        <w:rPr>
          <w:rFonts w:ascii="Arabic Transparent" w:hAnsi="Arabic Transparent" w:cs="Arabic Transparent"/>
        </w:rPr>
        <w:t>B</w:t>
      </w:r>
      <w:r>
        <w:rPr>
          <w:rFonts w:ascii="Arabic Transparent" w:hAnsi="Arabic Transparent" w:cs="Arabic Transparent"/>
          <w:rtl/>
        </w:rPr>
        <w:t xml:space="preserve"> </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(75/0*4693932/0)+(5/0*53060798/0)+(25/0*143208/0)</w:t>
      </w:r>
      <w:r>
        <w:rPr>
          <w:rFonts w:ascii="Arabic Transparent" w:hAnsi="Arabic Transparent" w:cs="Arabic Transparent"/>
          <w:rtl/>
        </w:rPr>
        <w:br/>
        <w:t>56/0= ________________________________________</w:t>
      </w:r>
      <w:r>
        <w:rPr>
          <w:rFonts w:ascii="Arabic Transparent" w:hAnsi="Arabic Transparent" w:cs="Arabic Transparent"/>
          <w:rtl/>
        </w:rPr>
        <w:br/>
        <w:t>4693932/0+53060798/0+143208/0</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براى اين كه شاخص مقدار اقتصاد زيرزمينى در فاصله [0و1] قرار گيرد، مجموع وزنها (يعنى مقادير انتسابى) بايد، برابر با يك باشد كه اين كار از طريق تقسيم آنها به مجموع ارزشها انجام مى‏گيرد .شاخص مقداراقتصاد زيرزمينى 56/. نشان مى‏دهد، براى سال 1375 در ايران تمايل كارگزاران به زيرزمينى عمل كردن بالاتر از حد طبيعى بوده است. به بيان ديگر عاملان اقتصادى، تمايل كمترى داشته‏اند آشكارا و روى صحنه فعاليت اقتصادى نمايند.</w:t>
      </w:r>
    </w:p>
    <w:p w:rsidR="006E38C5" w:rsidRDefault="006E38C5" w:rsidP="006E38C5">
      <w:pPr>
        <w:pStyle w:val="Heading3"/>
        <w:bidi/>
        <w:rPr>
          <w:rFonts w:ascii="Arabic Transparent" w:hAnsi="Arabic Transparent" w:cs="Arabic Transparent"/>
          <w:rtl/>
        </w:rPr>
      </w:pPr>
      <w:r>
        <w:rPr>
          <w:rFonts w:ascii="Arabic Transparent" w:hAnsi="Arabic Transparent" w:cs="Arabic Transparent"/>
          <w:rtl/>
        </w:rPr>
        <w:t xml:space="preserve">5- نتايج نهائى </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شاخص مقادير بدست آمده براى هر سال را تراز كرده‏ايم</w:t>
      </w:r>
      <w:r>
        <w:rPr>
          <w:rFonts w:ascii="Arabic Transparent" w:hAnsi="Arabic Transparent" w:cs="Arabic Transparent"/>
          <w:vertAlign w:val="superscript"/>
          <w:rtl/>
        </w:rPr>
        <w:t>(5)</w:t>
      </w:r>
      <w:r>
        <w:rPr>
          <w:rFonts w:ascii="Arabic Transparent" w:hAnsi="Arabic Transparent" w:cs="Arabic Transparent"/>
          <w:rtl/>
        </w:rPr>
        <w:t xml:space="preserve"> تا سرى اقتصاد زيرزمينى برحسب توليد ناخالص داخلى رسمى بدست آيد. سرى زمانى اقتصاد زيرزمينى ايران در «نمودار 1» رسم شده است. ستون اول جدول 2 نسبت توليد ناخالص داخلى اقتصاد زيرزمينى به توليد ناخالص داخلى رسمى را نشان مى‏دهد. ستون دوم حجم اقتصاد زيرزمينى (توليد ناخالص داخلى زيرزمينى) را بر حسب ميليارد ريال نشان مى‏دهد. با استفاده از نسبت ماليات به توليد ناخالص داخلى (به عنوان شاخص نرخ مالياتى) مقدار فرار مالياتى اندازه گيرى مى‏شود. ستون چهارم ميزان فرار مالياتى براورد شده را نشان مى‏دهد، ستون ششم نسبت فرار مالياتى به درآمد مالياتى رسمى رانشان مى‏دهد، اين نسبت در نمودار 2 نشان داده شده است.نسبت توليد ناخالص اقتصاد زير زمينى به توليد ناخالص داخلى اندازه گيرى شده در سال 1378، 4/17 درصد به ارزش 93/77130 ميليارد ريال تخمين زده شده است. به همين ترتيب ارزش فرار مالياتى 82/5784ميليارد ريال كه4/19 درصد از درآمد مالياتى رسمى كشور در سال 1378 مى‏باشد، تخمين زده شده است.</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نتايج بدست آمده به خوبى فرضيات طرح شده در ابتداى مقاله را به اثبات مى‏رساند؛ زيرا روند اقتصاد زير زمينى در ايران بجز برخى از سالها در حال افزايش است. دو متغير ورودى نرخ ماليات وشاخصى از مقررات وتنظيم كننده اقتصاد و تجارت با اقتصاد زير زمينى همراهى دارد.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همچنين استحكام سريهاى فازى اقتصاد زير زمينى را در مقابل تغييرات فرضهاى متعدد ذهنى كه در ساخت آنها بكار برده‏ايم، بررسى كرده‏ايم و مشخص شد كه نتايج كاملاً نسبت به انتخاب در جات قاعده تصميم، غيرحساس است. همچنين آن را در مقابل استفاده از ميانگين ياميانه به عنوان پايه براى نقاط شكست، نسبت به تعداد انحراف معيارهاى استفاده شده براى اين پايه بررسى كرده‏ايم.</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lastRenderedPageBreak/>
        <w:t xml:space="preserve">بعلاوه سريهاى متناظرفازى اقتصادزيرزمينى رابا استفاده ازمتغيرهاى علّى كه درسايرتحليلهاى اقتصادزيرزمينى برگزيده شده بودند، ايجاد كرده‏ايم. براى مثال استفاده از نرخ تورم همراه با </w:t>
      </w:r>
      <w:r>
        <w:rPr>
          <w:rFonts w:ascii="Arabic Transparent" w:hAnsi="Arabic Transparent" w:cs="Arabic Transparent"/>
        </w:rPr>
        <w:t>TR</w:t>
      </w:r>
      <w:r>
        <w:rPr>
          <w:rFonts w:ascii="Arabic Transparent" w:hAnsi="Arabic Transparent" w:cs="Arabic Transparent"/>
          <w:rtl/>
        </w:rPr>
        <w:t xml:space="preserve">و </w:t>
      </w:r>
      <w:r>
        <w:rPr>
          <w:rFonts w:ascii="Arabic Transparent" w:hAnsi="Arabic Transparent" w:cs="Arabic Transparent"/>
        </w:rPr>
        <w:t>REG</w:t>
      </w:r>
      <w:r>
        <w:rPr>
          <w:rFonts w:ascii="Arabic Transparent" w:hAnsi="Arabic Transparent" w:cs="Arabic Transparent"/>
          <w:rtl/>
        </w:rPr>
        <w:t xml:space="preserve"> نتايج كاملاً مشابهى ايجاد كرد. محتمل‏ترين توضيح براى الگوهاى متفاوت چرخه‏اى، درسريهاى </w:t>
      </w:r>
      <w:r>
        <w:rPr>
          <w:rFonts w:ascii="Arabic Transparent" w:hAnsi="Arabic Transparent" w:cs="Arabic Transparent"/>
        </w:rPr>
        <w:t>MIMIC</w:t>
      </w:r>
      <w:r>
        <w:rPr>
          <w:rFonts w:ascii="Arabic Transparent" w:hAnsi="Arabic Transparent" w:cs="Arabic Transparent"/>
          <w:rtl/>
        </w:rPr>
        <w:t xml:space="preserve">وفازى اين است كه سرى </w:t>
      </w:r>
      <w:r>
        <w:rPr>
          <w:rFonts w:ascii="Arabic Transparent" w:hAnsi="Arabic Transparent" w:cs="Arabic Transparent"/>
        </w:rPr>
        <w:t>MIMIC</w:t>
      </w:r>
      <w:r>
        <w:rPr>
          <w:rFonts w:ascii="Arabic Transparent" w:hAnsi="Arabic Transparent" w:cs="Arabic Transparent"/>
          <w:rtl/>
        </w:rPr>
        <w:t>بر ده متغير علّى مبتنى است‏نه بر دو متغير، گسترش تحليل منطق فازى فوق به بيش از دو متغير علّى براساس قضاوتهاى ذهنى لازم‏چندان ساده نخواهد بود.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براى اين كه تحليل خود راكامل كنيم، با ساختار سلسله مراتبى مدلهاى دو متغيره آزمايش به عمل مى‏آوريم. براى مثال، سريهاى به دست آمده براى اقتصاد زيرزمينى را مى‏توان به عنوان يك متغير علّى جديد مركب تلقى كرد. مى‏توان به طريق مشابه متغير علّى مركب همانندى را با استفاده از دو متغير علّى كاملاً متفاوت پايه بدست آورد تا مسير زمانى جداگانه‏اى براى اقتصاد زيرزمينى بدست آيد. بنابراين متدلوژى مطرح شده در اين مقاله براى حالت دو متغيره را مى‏توان به اين (نهاده‏ها) و وروديهاى مركب بكار برد. البته در اين كار جدائى‏پذيرى ذاتى اثرات زوج متغيرهاى ورودى پايه را فرض مى‏كنيم كه ممكن است واقع بينانه نباشد. تلاش ما تا اين تاريخ در اين راستا نتايج متفاوتى از آنچه در نمودار شماره 1 آمده است، نشان نمى‏دهد.</w:t>
      </w:r>
    </w:p>
    <w:p w:rsidR="006E38C5" w:rsidRDefault="006E38C5" w:rsidP="006E38C5">
      <w:pPr>
        <w:pStyle w:val="Heading3"/>
        <w:bidi/>
        <w:rPr>
          <w:rFonts w:ascii="Arabic Transparent" w:hAnsi="Arabic Transparent" w:cs="Arabic Transparent"/>
          <w:rtl/>
        </w:rPr>
      </w:pPr>
      <w:r>
        <w:rPr>
          <w:rFonts w:ascii="Arabic Transparent" w:hAnsi="Arabic Transparent" w:cs="Arabic Transparent"/>
          <w:rtl/>
        </w:rPr>
        <w:t>6- نتيجه‏گيرى</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روشن است كه براى خالص كردن رويه‏هاى مطرح شده در اين مقاله، كارهاى زيادى بايد صورت گيرد؛ با اين حال نتايج مقدماتى گزارش شده در اين مقاله كاملاً دلگرم كننده است و به نظر نمى‏رسد، نسبت به قضاوتهاى ذهنى قبلى متفاوت كه در كاربرد اين متدلوژى اتخاذ كرده‏ايم، حساس باشد.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اندازه اقتصاد زيرزمينى مشاهده پذيرنيست. اما براى سياست‏گذاران مهم است، معيارهاى قابل اعتمادى از «اندازه»، روند و ويژگيهاى چرخه‏اى آن داشته باشند. تجديد علاقه سياست‏گذاران در كشورهاى پيشرفته در سالهاى اخير، كشف روشهاى بديل براى اندازگيرى اقتصاد زيرزمينى در سطح بين‏المللى را ضرورى ساخته است.</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استفاده از نظريه مجموعه‏هاى فازى و منطق فازى در اين زمينه نوآورانه است و از جمله مى‏تواند ساير معيارهاى موجود را ارزيابى كند. براى گسترش اين تحليل به طرق گوناگون بويژه، مجموعه جامع‏ترى كه متغيرهاى علّى را دربر گيرد وتوابع عضويت رامورد بررسى قراردهد تلاشهايى در دست انجام است .سرانجام مى‏توان با استفاده از همين نوع تحليل، ساير متغيرهاى اقتصادى مورد توجه، اما ذاتا مشاهده‏ناپذير را، اندازگيرى كرد. به عنوان مثال مى‏توان از استفاده از ظرفيت وانتظارات و ساير انتظارات نام برد.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noProof/>
        </w:rPr>
        <w:lastRenderedPageBreak/>
        <w:drawing>
          <wp:inline distT="0" distB="0" distL="0" distR="0">
            <wp:extent cx="4286885" cy="6466840"/>
            <wp:effectExtent l="19050" t="0" r="0" b="0"/>
            <wp:docPr id="134" name="Picture 134" descr="http://www.hawzah.net/Per/Magazine/NM/027/NM027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hawzah.net/Per/Magazine/NM/027/NM027071.JPG"/>
                    <pic:cNvPicPr>
                      <a:picLocks noChangeAspect="1" noChangeArrowheads="1"/>
                    </pic:cNvPicPr>
                  </pic:nvPicPr>
                  <pic:blipFill>
                    <a:blip r:embed="rId7"/>
                    <a:srcRect/>
                    <a:stretch>
                      <a:fillRect/>
                    </a:stretch>
                  </pic:blipFill>
                  <pic:spPr bwMode="auto">
                    <a:xfrm>
                      <a:off x="0" y="0"/>
                      <a:ext cx="4286885" cy="6466840"/>
                    </a:xfrm>
                    <a:prstGeom prst="rect">
                      <a:avLst/>
                    </a:prstGeom>
                    <a:noFill/>
                    <a:ln w="9525">
                      <a:noFill/>
                      <a:miter lim="800000"/>
                      <a:headEnd/>
                      <a:tailEnd/>
                    </a:ln>
                  </pic:spPr>
                </pic:pic>
              </a:graphicData>
            </a:graphic>
          </wp:inline>
        </w:drawing>
      </w:r>
    </w:p>
    <w:p w:rsidR="006E38C5" w:rsidRDefault="006E38C5" w:rsidP="006E38C5">
      <w:pPr>
        <w:pStyle w:val="NormalWeb"/>
        <w:rPr>
          <w:rFonts w:ascii="Arabic Transparent" w:hAnsi="Arabic Transparent" w:cs="Arabic Transparent"/>
          <w:rtl/>
        </w:rPr>
      </w:pPr>
      <w:r>
        <w:rPr>
          <w:rFonts w:ascii="Arabic Transparent" w:hAnsi="Arabic Transparent" w:cs="Arabic Transparent"/>
          <w:noProof/>
        </w:rPr>
        <w:lastRenderedPageBreak/>
        <w:drawing>
          <wp:inline distT="0" distB="0" distL="0" distR="0">
            <wp:extent cx="4286885" cy="6254750"/>
            <wp:effectExtent l="19050" t="0" r="0" b="0"/>
            <wp:docPr id="135" name="Picture 135" descr="http://www.hawzah.net/Per/Magazine/NM/027/NM027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hawzah.net/Per/Magazine/NM/027/NM027072.JPG"/>
                    <pic:cNvPicPr>
                      <a:picLocks noChangeAspect="1" noChangeArrowheads="1"/>
                    </pic:cNvPicPr>
                  </pic:nvPicPr>
                  <pic:blipFill>
                    <a:blip r:embed="rId8"/>
                    <a:srcRect/>
                    <a:stretch>
                      <a:fillRect/>
                    </a:stretch>
                  </pic:blipFill>
                  <pic:spPr bwMode="auto">
                    <a:xfrm>
                      <a:off x="0" y="0"/>
                      <a:ext cx="4286885" cy="6254750"/>
                    </a:xfrm>
                    <a:prstGeom prst="rect">
                      <a:avLst/>
                    </a:prstGeom>
                    <a:noFill/>
                    <a:ln w="9525">
                      <a:noFill/>
                      <a:miter lim="800000"/>
                      <a:headEnd/>
                      <a:tailEnd/>
                    </a:ln>
                  </pic:spPr>
                </pic:pic>
              </a:graphicData>
            </a:graphic>
          </wp:inline>
        </w:drawing>
      </w:r>
    </w:p>
    <w:p w:rsidR="006E38C5" w:rsidRDefault="006E38C5" w:rsidP="006E38C5">
      <w:pPr>
        <w:pStyle w:val="NormalWeb"/>
        <w:rPr>
          <w:rFonts w:ascii="Arabic Transparent" w:hAnsi="Arabic Transparent" w:cs="Arabic Transparent"/>
          <w:rtl/>
        </w:rPr>
      </w:pPr>
      <w:r>
        <w:rPr>
          <w:rFonts w:ascii="Arabic Transparent" w:hAnsi="Arabic Transparent" w:cs="Arabic Transparent"/>
          <w:noProof/>
        </w:rPr>
        <w:lastRenderedPageBreak/>
        <w:drawing>
          <wp:inline distT="0" distB="0" distL="0" distR="0">
            <wp:extent cx="4286885" cy="4316095"/>
            <wp:effectExtent l="19050" t="0" r="0" b="0"/>
            <wp:docPr id="136" name="Picture 136" descr="http://www.hawzah.net/Per/Magazine/NM/027/NM027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hawzah.net/Per/Magazine/NM/027/NM027073.JPG"/>
                    <pic:cNvPicPr>
                      <a:picLocks noChangeAspect="1" noChangeArrowheads="1"/>
                    </pic:cNvPicPr>
                  </pic:nvPicPr>
                  <pic:blipFill>
                    <a:blip r:embed="rId9"/>
                    <a:srcRect/>
                    <a:stretch>
                      <a:fillRect/>
                    </a:stretch>
                  </pic:blipFill>
                  <pic:spPr bwMode="auto">
                    <a:xfrm>
                      <a:off x="0" y="0"/>
                      <a:ext cx="4286885" cy="4316095"/>
                    </a:xfrm>
                    <a:prstGeom prst="rect">
                      <a:avLst/>
                    </a:prstGeom>
                    <a:noFill/>
                    <a:ln w="9525">
                      <a:noFill/>
                      <a:miter lim="800000"/>
                      <a:headEnd/>
                      <a:tailEnd/>
                    </a:ln>
                  </pic:spPr>
                </pic:pic>
              </a:graphicData>
            </a:graphic>
          </wp:inline>
        </w:drawing>
      </w:r>
    </w:p>
    <w:p w:rsidR="006E38C5" w:rsidRDefault="006E38C5" w:rsidP="006E38C5">
      <w:pPr>
        <w:pStyle w:val="NormalWeb"/>
        <w:rPr>
          <w:rFonts w:ascii="Arabic Transparent" w:hAnsi="Arabic Transparent" w:cs="Arabic Transparent"/>
          <w:rtl/>
        </w:rPr>
      </w:pPr>
      <w:r>
        <w:rPr>
          <w:rFonts w:ascii="Arabic Transparent" w:hAnsi="Arabic Transparent" w:cs="Arabic Transparent"/>
          <w:noProof/>
        </w:rPr>
        <w:lastRenderedPageBreak/>
        <w:drawing>
          <wp:inline distT="0" distB="0" distL="0" distR="0">
            <wp:extent cx="4286885" cy="5340350"/>
            <wp:effectExtent l="19050" t="0" r="0" b="0"/>
            <wp:docPr id="137" name="Picture 137" descr="http://www.hawzah.net/Per/Magazine/NM/027/NM027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hawzah.net/Per/Magazine/NM/027/NM027074.JPG"/>
                    <pic:cNvPicPr>
                      <a:picLocks noChangeAspect="1" noChangeArrowheads="1"/>
                    </pic:cNvPicPr>
                  </pic:nvPicPr>
                  <pic:blipFill>
                    <a:blip r:embed="rId10"/>
                    <a:srcRect/>
                    <a:stretch>
                      <a:fillRect/>
                    </a:stretch>
                  </pic:blipFill>
                  <pic:spPr bwMode="auto">
                    <a:xfrm>
                      <a:off x="0" y="0"/>
                      <a:ext cx="4286885" cy="5340350"/>
                    </a:xfrm>
                    <a:prstGeom prst="rect">
                      <a:avLst/>
                    </a:prstGeom>
                    <a:noFill/>
                    <a:ln w="9525">
                      <a:noFill/>
                      <a:miter lim="800000"/>
                      <a:headEnd/>
                      <a:tailEnd/>
                    </a:ln>
                  </pic:spPr>
                </pic:pic>
              </a:graphicData>
            </a:graphic>
          </wp:inline>
        </w:drawing>
      </w:r>
    </w:p>
    <w:p w:rsidR="006E38C5" w:rsidRDefault="006E38C5" w:rsidP="006E38C5">
      <w:pPr>
        <w:pStyle w:val="Heading4"/>
        <w:bidi/>
        <w:rPr>
          <w:rFonts w:ascii="Arabic Transparent" w:hAnsi="Arabic Transparent" w:cs="Arabic Transparent"/>
          <w:rtl/>
        </w:rPr>
      </w:pPr>
      <w:r>
        <w:rPr>
          <w:rFonts w:ascii="Arabic Transparent" w:hAnsi="Arabic Transparent" w:cs="Arabic Transparent"/>
          <w:rtl/>
        </w:rPr>
        <w:t>فهرست منابع</w:t>
      </w:r>
    </w:p>
    <w:p w:rsidR="006E38C5" w:rsidRDefault="006E38C5" w:rsidP="006E38C5">
      <w:pPr>
        <w:pStyle w:val="Heading4"/>
        <w:bidi/>
        <w:rPr>
          <w:rFonts w:ascii="Arabic Transparent" w:hAnsi="Arabic Transparent" w:cs="Arabic Transparent"/>
          <w:rtl/>
        </w:rPr>
      </w:pPr>
      <w:r>
        <w:rPr>
          <w:rFonts w:ascii="Arabic Transparent" w:hAnsi="Arabic Transparent" w:cs="Arabic Transparent"/>
          <w:rtl/>
        </w:rPr>
        <w:t xml:space="preserve">الف - فارسى </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1- ارقامى، ناصر رضا، مرورى بر رگرسيونهاى فازى، گزارش سمينار مجموعه‏هاى مشكك و كاربرد آن، دانشگاه شهيد باهنر كرمان، 1372</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2- اشرف زاده حميدرضا، تخمين حجم اقتصاد زير زمينى، مجموعه مقالات سمينار قاچاق، دانشگاه تربيت مدرس، 1378</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3- باقرى، گرمارودى، اقتصادزير زمينى، تخمين وآثارآن بر كسرى بودجه وسرمايه گذارى بخش خصوصى طى سالهاى 1374-1350، پايان نامه كارشناسى ارشد، دانشگاه شهيد بهشتى، 1377</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4- جواهردشتى، رضا، ديدگاهى نو درباره قابليت منطق فازى، تدبير، آذرماه 1375، ش68، صص 26-24</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lastRenderedPageBreak/>
        <w:t>5- خلعت برى، فيروزه، اقتصادزيرزمينى، مجله رونق، سال اول، شماره 1، 2.</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6- صيامى نمينى، سيما، ارزيابى نظام مالياتى كشوربا تاكيدبر بخش صنعت، اطلاعات سياسى اقتصادى 154-153، 1379</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7- سازمان برنامه و بودجه، آمار سرى زمانى اقتصادى، اجتماعى، تا سال 1375، مركز مدارك اجتماعى اقتصادى 1376</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8- طاهرى، سيدمحمود، آشنايى بانظريه مجموعه هاى فازى، جهاد دانشگاهى مشهد، 1378</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9- طاهرفر، كورش، نقش فعاليتهاى زير زمينى در ايران با تاكيدبر انگيزه فرار مالياتى، پايان نامه كار شناسى ارشد، دانشگاه تهران، 1376</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10- عادل آذر، سيستمهاى هوشمند اطلاعاتى مديريت ؛رويكرد فازى -عصبى، مجله مدرس، دانشگاه تربيت مدرس، 1377</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11- كاسكو، تفكر فازى، ترجمه دكتر على غفارى، تهران، دانشگاه خواجه نصيرالدين طوسى، 1377</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 xml:space="preserve">12- مركز آمار ايران، سالنامه‏هاى آمارى سالهاى مختلف، تهران، مركز آمار ايران </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13- نيلى، مسعود، اقتصاد ايران، مؤسسه عالى پژوهش در برنامه ريزى وتوسعه سازمان برنامه وبودجه، 1376</w:t>
      </w:r>
    </w:p>
    <w:p w:rsidR="006E38C5" w:rsidRDefault="006E38C5" w:rsidP="006E38C5">
      <w:pPr>
        <w:pStyle w:val="Heading4"/>
        <w:bidi/>
        <w:rPr>
          <w:rFonts w:ascii="Arabic Transparent" w:hAnsi="Arabic Transparent" w:cs="Arabic Transparent"/>
          <w:rtl/>
        </w:rPr>
      </w:pPr>
      <w:r>
        <w:rPr>
          <w:rFonts w:ascii="Arabic Transparent" w:hAnsi="Arabic Transparent" w:cs="Arabic Transparent"/>
          <w:rtl/>
        </w:rPr>
        <w:t xml:space="preserve">ب - انگليسى </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14-</w:t>
      </w:r>
      <w:proofErr w:type="spellStart"/>
      <w:r>
        <w:rPr>
          <w:rFonts w:ascii="Arabic Transparent" w:hAnsi="Arabic Transparent" w:cs="Arabic Transparent"/>
        </w:rPr>
        <w:t>Carogata,P.J,and</w:t>
      </w:r>
      <w:proofErr w:type="spellEnd"/>
      <w:r>
        <w:rPr>
          <w:rFonts w:ascii="Arabic Transparent" w:hAnsi="Arabic Transparent" w:cs="Arabic Transparent"/>
        </w:rPr>
        <w:t xml:space="preserve"> </w:t>
      </w:r>
      <w:proofErr w:type="spellStart"/>
      <w:r>
        <w:rPr>
          <w:rFonts w:ascii="Arabic Transparent" w:hAnsi="Arabic Transparent" w:cs="Arabic Transparent"/>
        </w:rPr>
        <w:t>D.E.A.Giles</w:t>
      </w:r>
      <w:proofErr w:type="spellEnd"/>
      <w:r>
        <w:rPr>
          <w:rFonts w:ascii="Arabic Transparent" w:hAnsi="Arabic Transparent" w:cs="Arabic Transparent"/>
        </w:rPr>
        <w:t xml:space="preserve"> </w:t>
      </w:r>
      <w:proofErr w:type="spellStart"/>
      <w:r>
        <w:rPr>
          <w:rFonts w:ascii="Arabic Transparent" w:hAnsi="Arabic Transparent" w:cs="Arabic Transparent"/>
        </w:rPr>
        <w:t>smiulating</w:t>
      </w:r>
      <w:proofErr w:type="spellEnd"/>
      <w:r>
        <w:rPr>
          <w:rFonts w:ascii="Arabic Transparent" w:hAnsi="Arabic Transparent" w:cs="Arabic Transparent"/>
        </w:rPr>
        <w:t xml:space="preserve"> the relationship between the</w:t>
      </w:r>
      <w:r>
        <w:rPr>
          <w:rFonts w:ascii="Arabic Transparent" w:hAnsi="Arabic Transparent" w:cs="Arabic Transparent"/>
          <w:rtl/>
        </w:rPr>
        <w:t xml:space="preserve"> </w:t>
      </w:r>
      <w:r>
        <w:rPr>
          <w:rFonts w:ascii="Arabic Transparent" w:hAnsi="Arabic Transparent" w:cs="Arabic Transparent"/>
        </w:rPr>
        <w:t xml:space="preserve">hidden economy and the tax level and tax mix in </w:t>
      </w:r>
      <w:proofErr w:type="spellStart"/>
      <w:r>
        <w:rPr>
          <w:rFonts w:ascii="Arabic Transparent" w:hAnsi="Arabic Transparent" w:cs="Arabic Transparent"/>
        </w:rPr>
        <w:t>newzeland</w:t>
      </w:r>
      <w:proofErr w:type="spellEnd"/>
      <w:r>
        <w:rPr>
          <w:rFonts w:ascii="Arabic Transparent" w:hAnsi="Arabic Transparent" w:cs="Arabic Transparent"/>
        </w:rPr>
        <w:t xml:space="preserve"> ,</w:t>
      </w:r>
      <w:proofErr w:type="spellStart"/>
      <w:r>
        <w:rPr>
          <w:rFonts w:ascii="Arabic Transparent" w:hAnsi="Arabic Transparent" w:cs="Arabic Transparent"/>
        </w:rPr>
        <w:t>Economtrics</w:t>
      </w:r>
      <w:proofErr w:type="spellEnd"/>
      <w:r>
        <w:rPr>
          <w:rFonts w:ascii="Arabic Transparent" w:hAnsi="Arabic Transparent" w:cs="Arabic Transparent"/>
        </w:rPr>
        <w:t xml:space="preserve"> working</w:t>
      </w:r>
      <w:r>
        <w:rPr>
          <w:rFonts w:ascii="Arabic Transparent" w:hAnsi="Arabic Transparent" w:cs="Arabic Transparent"/>
          <w:rtl/>
        </w:rPr>
        <w:t xml:space="preserve"> </w:t>
      </w:r>
      <w:r>
        <w:rPr>
          <w:rFonts w:ascii="Arabic Transparent" w:hAnsi="Arabic Transparent" w:cs="Arabic Transparent"/>
        </w:rPr>
        <w:t xml:space="preserve">paper.Ewp9804.Departemant of Economics university of </w:t>
      </w:r>
      <w:proofErr w:type="spellStart"/>
      <w:r>
        <w:rPr>
          <w:rFonts w:ascii="Arabic Transparent" w:hAnsi="Arabic Transparent" w:cs="Arabic Transparent"/>
        </w:rPr>
        <w:t>victoria,canada</w:t>
      </w:r>
      <w:proofErr w:type="spellEnd"/>
      <w:r>
        <w:rPr>
          <w:rFonts w:ascii="Arabic Transparent" w:hAnsi="Arabic Transparent" w:cs="Arabic Transparent"/>
          <w:rtl/>
        </w:rPr>
        <w:t>.</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15-</w:t>
      </w:r>
      <w:r>
        <w:rPr>
          <w:rFonts w:ascii="Arabic Transparent" w:hAnsi="Arabic Transparent" w:cs="Arabic Transparent"/>
        </w:rPr>
        <w:t>Giles David E.A</w:t>
      </w:r>
      <w:r>
        <w:rPr>
          <w:rFonts w:ascii="Arabic Transparent" w:hAnsi="Arabic Transparent" w:cs="Arabic Transparent"/>
          <w:rtl/>
        </w:rPr>
        <w:t xml:space="preserve">.&amp; </w:t>
      </w:r>
      <w:proofErr w:type="spellStart"/>
      <w:r>
        <w:rPr>
          <w:rFonts w:ascii="Arabic Transparent" w:hAnsi="Arabic Transparent" w:cs="Arabic Transparent"/>
        </w:rPr>
        <w:t>Draeseke</w:t>
      </w:r>
      <w:proofErr w:type="spellEnd"/>
      <w:r>
        <w:rPr>
          <w:rFonts w:ascii="Arabic Transparent" w:hAnsi="Arabic Transparent" w:cs="Arabic Transparent"/>
        </w:rPr>
        <w:t xml:space="preserve"> </w:t>
      </w:r>
      <w:proofErr w:type="spellStart"/>
      <w:r>
        <w:rPr>
          <w:rFonts w:ascii="Arabic Transparent" w:hAnsi="Arabic Transparent" w:cs="Arabic Transparent"/>
        </w:rPr>
        <w:t>Robert,A</w:t>
      </w:r>
      <w:proofErr w:type="spellEnd"/>
      <w:r>
        <w:rPr>
          <w:rFonts w:ascii="Arabic Transparent" w:hAnsi="Arabic Transparent" w:cs="Arabic Transparent"/>
        </w:rPr>
        <w:t xml:space="preserve"> Fuzzy Logic Approach to </w:t>
      </w:r>
      <w:proofErr w:type="spellStart"/>
      <w:r>
        <w:rPr>
          <w:rFonts w:ascii="Arabic Transparent" w:hAnsi="Arabic Transparent" w:cs="Arabic Transparent"/>
        </w:rPr>
        <w:t>Modelling</w:t>
      </w:r>
      <w:proofErr w:type="spellEnd"/>
      <w:r>
        <w:rPr>
          <w:rFonts w:ascii="Arabic Transparent" w:hAnsi="Arabic Transparent" w:cs="Arabic Transparent"/>
          <w:rtl/>
        </w:rPr>
        <w:t xml:space="preserve"> </w:t>
      </w:r>
      <w:r>
        <w:rPr>
          <w:rFonts w:ascii="Arabic Transparent" w:hAnsi="Arabic Transparent" w:cs="Arabic Transparent"/>
        </w:rPr>
        <w:t xml:space="preserve">the underground </w:t>
      </w:r>
      <w:proofErr w:type="spellStart"/>
      <w:r>
        <w:rPr>
          <w:rFonts w:ascii="Arabic Transparent" w:hAnsi="Arabic Transparent" w:cs="Arabic Transparent"/>
        </w:rPr>
        <w:t>Economy,forthcoming</w:t>
      </w:r>
      <w:proofErr w:type="spellEnd"/>
      <w:r>
        <w:rPr>
          <w:rFonts w:ascii="Arabic Transparent" w:hAnsi="Arabic Transparent" w:cs="Arabic Transparent"/>
        </w:rPr>
        <w:t xml:space="preserve"> in Mathematics and Computers in</w:t>
      </w:r>
      <w:r>
        <w:rPr>
          <w:rFonts w:ascii="Arabic Transparent" w:hAnsi="Arabic Transparent" w:cs="Arabic Transparent"/>
          <w:rtl/>
        </w:rPr>
        <w:t xml:space="preserve"> </w:t>
      </w:r>
      <w:r>
        <w:rPr>
          <w:rFonts w:ascii="Arabic Transparent" w:hAnsi="Arabic Transparent" w:cs="Arabic Transparent"/>
        </w:rPr>
        <w:t>Simulation-2000</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16-</w:t>
      </w:r>
      <w:proofErr w:type="spellStart"/>
      <w:r>
        <w:rPr>
          <w:rFonts w:ascii="Arabic Transparent" w:hAnsi="Arabic Transparent" w:cs="Arabic Transparent"/>
        </w:rPr>
        <w:t>Khalatbari,F.A</w:t>
      </w:r>
      <w:proofErr w:type="spellEnd"/>
      <w:r>
        <w:rPr>
          <w:rFonts w:ascii="Arabic Transparent" w:hAnsi="Arabic Transparent" w:cs="Arabic Transparent"/>
        </w:rPr>
        <w:t xml:space="preserve"> Study about the Nature and Dimensions of the Shadow Economy</w:t>
      </w:r>
      <w:r>
        <w:rPr>
          <w:rFonts w:ascii="Arabic Transparent" w:hAnsi="Arabic Transparent" w:cs="Arabic Transparent"/>
          <w:rtl/>
        </w:rPr>
        <w:t xml:space="preserve"> </w:t>
      </w:r>
      <w:r>
        <w:rPr>
          <w:rFonts w:ascii="Arabic Transparent" w:hAnsi="Arabic Transparent" w:cs="Arabic Transparent"/>
        </w:rPr>
        <w:t xml:space="preserve">in Islamic Republic of </w:t>
      </w:r>
      <w:proofErr w:type="spellStart"/>
      <w:r>
        <w:rPr>
          <w:rFonts w:ascii="Arabic Transparent" w:hAnsi="Arabic Transparent" w:cs="Arabic Transparent"/>
        </w:rPr>
        <w:t>Iran.Prepared</w:t>
      </w:r>
      <w:proofErr w:type="spellEnd"/>
      <w:r>
        <w:rPr>
          <w:rFonts w:ascii="Arabic Transparent" w:hAnsi="Arabic Transparent" w:cs="Arabic Transparent"/>
        </w:rPr>
        <w:t xml:space="preserve"> for UNDP.1994a</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17-.....</w:t>
      </w:r>
      <w:proofErr w:type="spellStart"/>
      <w:r>
        <w:rPr>
          <w:rFonts w:ascii="Arabic Transparent" w:hAnsi="Arabic Transparent" w:cs="Arabic Transparent"/>
        </w:rPr>
        <w:t>Iran</w:t>
      </w:r>
      <w:proofErr w:type="gramStart"/>
      <w:r>
        <w:rPr>
          <w:rFonts w:ascii="Arabic Transparent" w:hAnsi="Arabic Transparent" w:cs="Arabic Transparent"/>
        </w:rPr>
        <w:t>:A</w:t>
      </w:r>
      <w:proofErr w:type="spellEnd"/>
      <w:proofErr w:type="gramEnd"/>
      <w:r>
        <w:rPr>
          <w:rFonts w:ascii="Arabic Transparent" w:hAnsi="Arabic Transparent" w:cs="Arabic Transparent"/>
        </w:rPr>
        <w:t xml:space="preserve"> </w:t>
      </w:r>
      <w:proofErr w:type="spellStart"/>
      <w:r>
        <w:rPr>
          <w:rFonts w:ascii="Arabic Transparent" w:hAnsi="Arabic Transparent" w:cs="Arabic Transparent"/>
        </w:rPr>
        <w:t>Uniq</w:t>
      </w:r>
      <w:proofErr w:type="spellEnd"/>
      <w:r>
        <w:rPr>
          <w:rFonts w:ascii="Arabic Transparent" w:hAnsi="Arabic Transparent" w:cs="Arabic Transparent"/>
        </w:rPr>
        <w:t xml:space="preserve"> Underground </w:t>
      </w:r>
      <w:proofErr w:type="spellStart"/>
      <w:r>
        <w:rPr>
          <w:rFonts w:ascii="Arabic Transparent" w:hAnsi="Arabic Transparent" w:cs="Arabic Transparent"/>
        </w:rPr>
        <w:t>Economy.in:the</w:t>
      </w:r>
      <w:proofErr w:type="spellEnd"/>
      <w:r>
        <w:rPr>
          <w:rFonts w:ascii="Arabic Transparent" w:hAnsi="Arabic Transparent" w:cs="Arabic Transparent"/>
        </w:rPr>
        <w:t xml:space="preserve"> Economy of Islamic IRAN</w:t>
      </w:r>
      <w:r>
        <w:rPr>
          <w:rFonts w:ascii="Arabic Transparent" w:hAnsi="Arabic Transparent" w:cs="Arabic Transparent"/>
          <w:rtl/>
        </w:rPr>
        <w:t xml:space="preserve">: </w:t>
      </w:r>
      <w:r>
        <w:rPr>
          <w:rFonts w:ascii="Arabic Transparent" w:hAnsi="Arabic Transparent" w:cs="Arabic Transparent"/>
        </w:rPr>
        <w:t xml:space="preserve">Between State and Market, Edited by </w:t>
      </w:r>
      <w:proofErr w:type="spellStart"/>
      <w:r>
        <w:rPr>
          <w:rFonts w:ascii="Arabic Transparent" w:hAnsi="Arabic Transparent" w:cs="Arabic Transparent"/>
        </w:rPr>
        <w:t>Coville</w:t>
      </w:r>
      <w:proofErr w:type="spellEnd"/>
      <w:r>
        <w:rPr>
          <w:rFonts w:ascii="Arabic Transparent" w:hAnsi="Arabic Transparent" w:cs="Arabic Transparent"/>
        </w:rPr>
        <w:t xml:space="preserve">, </w:t>
      </w:r>
      <w:proofErr w:type="spellStart"/>
      <w:r>
        <w:rPr>
          <w:rFonts w:ascii="Arabic Transparent" w:hAnsi="Arabic Transparent" w:cs="Arabic Transparent"/>
        </w:rPr>
        <w:t>T.Tehran</w:t>
      </w:r>
      <w:proofErr w:type="spellEnd"/>
      <w:r>
        <w:rPr>
          <w:rFonts w:ascii="Arabic Transparent" w:hAnsi="Arabic Transparent" w:cs="Arabic Transparent"/>
        </w:rPr>
        <w:t xml:space="preserve">: Institute </w:t>
      </w:r>
      <w:proofErr w:type="spellStart"/>
      <w:r>
        <w:rPr>
          <w:rFonts w:ascii="Arabic Transparent" w:hAnsi="Arabic Transparent" w:cs="Arabic Transparent"/>
        </w:rPr>
        <w:t>Francais</w:t>
      </w:r>
      <w:proofErr w:type="spellEnd"/>
      <w:r>
        <w:rPr>
          <w:rFonts w:ascii="Arabic Transparent" w:hAnsi="Arabic Transparent" w:cs="Arabic Transparent"/>
        </w:rPr>
        <w:t xml:space="preserve"> de</w:t>
      </w:r>
      <w:r>
        <w:rPr>
          <w:rFonts w:ascii="Arabic Transparent" w:hAnsi="Arabic Transparent" w:cs="Arabic Transparent"/>
          <w:rtl/>
        </w:rPr>
        <w:t xml:space="preserve"> </w:t>
      </w:r>
      <w:proofErr w:type="spellStart"/>
      <w:r>
        <w:rPr>
          <w:rFonts w:ascii="Arabic Transparent" w:hAnsi="Arabic Transparent" w:cs="Arabic Transparent"/>
        </w:rPr>
        <w:t>Recherche</w:t>
      </w:r>
      <w:proofErr w:type="spellEnd"/>
      <w:r>
        <w:rPr>
          <w:rFonts w:ascii="Arabic Transparent" w:hAnsi="Arabic Transparent" w:cs="Arabic Transparent"/>
        </w:rPr>
        <w:t xml:space="preserve"> en Iran,1994b</w:t>
      </w:r>
      <w:r>
        <w:rPr>
          <w:rFonts w:ascii="Arabic Transparent" w:hAnsi="Arabic Transparent" w:cs="Arabic Transparent"/>
          <w:rtl/>
        </w:rPr>
        <w:t>.</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18-</w:t>
      </w:r>
      <w:proofErr w:type="spellStart"/>
      <w:r>
        <w:rPr>
          <w:rFonts w:ascii="Arabic Transparent" w:hAnsi="Arabic Transparent" w:cs="Arabic Transparent"/>
        </w:rPr>
        <w:t>Lindstrom,T.A,Fuzzy</w:t>
      </w:r>
      <w:proofErr w:type="spellEnd"/>
      <w:r>
        <w:rPr>
          <w:rFonts w:ascii="Arabic Transparent" w:hAnsi="Arabic Transparent" w:cs="Arabic Transparent"/>
        </w:rPr>
        <w:t xml:space="preserve"> Design </w:t>
      </w:r>
      <w:proofErr w:type="spellStart"/>
      <w:r>
        <w:rPr>
          <w:rFonts w:ascii="Arabic Transparent" w:hAnsi="Arabic Transparent" w:cs="Arabic Transparent"/>
        </w:rPr>
        <w:t>ofThe</w:t>
      </w:r>
      <w:proofErr w:type="spellEnd"/>
      <w:r>
        <w:rPr>
          <w:rFonts w:ascii="Arabic Transparent" w:hAnsi="Arabic Transparent" w:cs="Arabic Transparent"/>
        </w:rPr>
        <w:t xml:space="preserve"> Willingness to in </w:t>
      </w:r>
      <w:proofErr w:type="spellStart"/>
      <w:r>
        <w:rPr>
          <w:rFonts w:ascii="Arabic Transparent" w:hAnsi="Arabic Transparent" w:cs="Arabic Transparent"/>
        </w:rPr>
        <w:t>Sweden,Journal</w:t>
      </w:r>
      <w:proofErr w:type="spellEnd"/>
      <w:r>
        <w:rPr>
          <w:rFonts w:ascii="Arabic Transparent" w:hAnsi="Arabic Transparent" w:cs="Arabic Transparent"/>
        </w:rPr>
        <w:t xml:space="preserve"> of</w:t>
      </w:r>
      <w:r>
        <w:rPr>
          <w:rFonts w:ascii="Arabic Transparent" w:hAnsi="Arabic Transparent" w:cs="Arabic Transparent"/>
          <w:rtl/>
        </w:rPr>
        <w:t xml:space="preserve"> </w:t>
      </w:r>
      <w:r>
        <w:rPr>
          <w:rFonts w:ascii="Arabic Transparent" w:hAnsi="Arabic Transparent" w:cs="Arabic Transparent"/>
        </w:rPr>
        <w:t>Economic Behavior and Organization 36,1-17-1998</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19-</w:t>
      </w:r>
      <w:r>
        <w:rPr>
          <w:rFonts w:ascii="Arabic Transparent" w:hAnsi="Arabic Transparent" w:cs="Arabic Transparent"/>
        </w:rPr>
        <w:t xml:space="preserve">Richardson, G ,the </w:t>
      </w:r>
      <w:proofErr w:type="spellStart"/>
      <w:r>
        <w:rPr>
          <w:rFonts w:ascii="Arabic Transparent" w:hAnsi="Arabic Transparent" w:cs="Arabic Transparent"/>
        </w:rPr>
        <w:t>Strachre</w:t>
      </w:r>
      <w:proofErr w:type="spellEnd"/>
      <w:r>
        <w:rPr>
          <w:rFonts w:ascii="Arabic Transparent" w:hAnsi="Arabic Transparent" w:cs="Arabic Transparent"/>
        </w:rPr>
        <w:t xml:space="preserve"> of fuzzy </w:t>
      </w:r>
      <w:proofErr w:type="spellStart"/>
      <w:r>
        <w:rPr>
          <w:rFonts w:ascii="Arabic Transparent" w:hAnsi="Arabic Transparent" w:cs="Arabic Transparent"/>
        </w:rPr>
        <w:t>peferences:social</w:t>
      </w:r>
      <w:proofErr w:type="spellEnd"/>
      <w:r>
        <w:rPr>
          <w:rFonts w:ascii="Arabic Transparent" w:hAnsi="Arabic Transparent" w:cs="Arabic Transparent"/>
        </w:rPr>
        <w:t xml:space="preserve"> choice implication</w:t>
      </w:r>
      <w:r>
        <w:rPr>
          <w:rFonts w:ascii="Arabic Transparent" w:hAnsi="Arabic Transparent" w:cs="Arabic Transparent"/>
          <w:rtl/>
        </w:rPr>
        <w:t xml:space="preserve">, </w:t>
      </w:r>
      <w:proofErr w:type="spellStart"/>
      <w:r>
        <w:rPr>
          <w:rFonts w:ascii="Arabic Transparent" w:hAnsi="Arabic Transparent" w:cs="Arabic Transparent"/>
        </w:rPr>
        <w:t>socialchoic</w:t>
      </w:r>
      <w:proofErr w:type="spellEnd"/>
      <w:r>
        <w:rPr>
          <w:rFonts w:ascii="Arabic Transparent" w:hAnsi="Arabic Transparent" w:cs="Arabic Transparent"/>
        </w:rPr>
        <w:t xml:space="preserve"> and Welfar,159559</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lastRenderedPageBreak/>
        <w:t>20-</w:t>
      </w:r>
      <w:proofErr w:type="spellStart"/>
      <w:r>
        <w:rPr>
          <w:rFonts w:ascii="Arabic Transparent" w:hAnsi="Arabic Transparent" w:cs="Arabic Transparent"/>
        </w:rPr>
        <w:t>Trandel,G</w:t>
      </w:r>
      <w:proofErr w:type="spellEnd"/>
      <w:r>
        <w:rPr>
          <w:rFonts w:ascii="Arabic Transparent" w:hAnsi="Arabic Transparent" w:cs="Arabic Transparent"/>
        </w:rPr>
        <w:t xml:space="preserve">, and </w:t>
      </w:r>
      <w:proofErr w:type="spellStart"/>
      <w:r>
        <w:rPr>
          <w:rFonts w:ascii="Arabic Transparent" w:hAnsi="Arabic Transparent" w:cs="Arabic Transparent"/>
        </w:rPr>
        <w:t>Asnow,Progressive</w:t>
      </w:r>
      <w:proofErr w:type="spellEnd"/>
      <w:r>
        <w:rPr>
          <w:rFonts w:ascii="Arabic Transparent" w:hAnsi="Arabic Transparent" w:cs="Arabic Transparent"/>
        </w:rPr>
        <w:t xml:space="preserve"> </w:t>
      </w:r>
      <w:proofErr w:type="spellStart"/>
      <w:r>
        <w:rPr>
          <w:rFonts w:ascii="Arabic Transparent" w:hAnsi="Arabic Transparent" w:cs="Arabic Transparent"/>
        </w:rPr>
        <w:t>incom</w:t>
      </w:r>
      <w:proofErr w:type="spellEnd"/>
      <w:r>
        <w:rPr>
          <w:rFonts w:ascii="Arabic Transparent" w:hAnsi="Arabic Transparent" w:cs="Arabic Transparent"/>
        </w:rPr>
        <w:t xml:space="preserve"> taxation and the Underground</w:t>
      </w:r>
      <w:r>
        <w:rPr>
          <w:rFonts w:ascii="Arabic Transparent" w:hAnsi="Arabic Transparent" w:cs="Arabic Transparent"/>
          <w:rtl/>
        </w:rPr>
        <w:t xml:space="preserve"> </w:t>
      </w:r>
      <w:r>
        <w:rPr>
          <w:rFonts w:ascii="Arabic Transparent" w:hAnsi="Arabic Transparent" w:cs="Arabic Transparent"/>
        </w:rPr>
        <w:t>Economy .Economics Letters,62,217,222,1999</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21-</w:t>
      </w:r>
      <w:proofErr w:type="spellStart"/>
      <w:r>
        <w:rPr>
          <w:rFonts w:ascii="Arabic Transparent" w:hAnsi="Arabic Transparent" w:cs="Arabic Transparent"/>
        </w:rPr>
        <w:t>zadeh,l,A,Fuzzy</w:t>
      </w:r>
      <w:proofErr w:type="spellEnd"/>
      <w:r>
        <w:rPr>
          <w:rFonts w:ascii="Arabic Transparent" w:hAnsi="Arabic Transparent" w:cs="Arabic Transparent"/>
        </w:rPr>
        <w:t xml:space="preserve"> set and </w:t>
      </w:r>
      <w:proofErr w:type="spellStart"/>
      <w:r>
        <w:rPr>
          <w:rFonts w:ascii="Arabic Transparent" w:hAnsi="Arabic Transparent" w:cs="Arabic Transparent"/>
        </w:rPr>
        <w:t>Applacations</w:t>
      </w:r>
      <w:proofErr w:type="spellEnd"/>
      <w:r>
        <w:rPr>
          <w:rFonts w:ascii="Arabic Transparent" w:hAnsi="Arabic Transparent" w:cs="Arabic Transparent"/>
        </w:rPr>
        <w:t xml:space="preserve"> Selected </w:t>
      </w:r>
      <w:proofErr w:type="spellStart"/>
      <w:r>
        <w:rPr>
          <w:rFonts w:ascii="Arabic Transparent" w:hAnsi="Arabic Transparent" w:cs="Arabic Transparent"/>
        </w:rPr>
        <w:t>paper,Wiley,New</w:t>
      </w:r>
      <w:proofErr w:type="spellEnd"/>
      <w:r>
        <w:rPr>
          <w:rFonts w:ascii="Arabic Transparent" w:hAnsi="Arabic Transparent" w:cs="Arabic Transparent"/>
          <w:rtl/>
        </w:rPr>
        <w:t xml:space="preserve"> </w:t>
      </w:r>
      <w:r>
        <w:rPr>
          <w:rFonts w:ascii="Arabic Transparent" w:hAnsi="Arabic Transparent" w:cs="Arabic Transparent"/>
        </w:rPr>
        <w:t>Yorc,1987</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22-.........</w:t>
      </w:r>
      <w:r>
        <w:rPr>
          <w:rFonts w:ascii="Arabic Transparent" w:hAnsi="Arabic Transparent" w:cs="Arabic Transparent"/>
        </w:rPr>
        <w:t xml:space="preserve">Fuzzy </w:t>
      </w:r>
      <w:proofErr w:type="gramStart"/>
      <w:r>
        <w:rPr>
          <w:rFonts w:ascii="Arabic Transparent" w:hAnsi="Arabic Transparent" w:cs="Arabic Transparent"/>
        </w:rPr>
        <w:t>Sets ,information</w:t>
      </w:r>
      <w:proofErr w:type="gramEnd"/>
      <w:r>
        <w:rPr>
          <w:rFonts w:ascii="Arabic Transparent" w:hAnsi="Arabic Transparent" w:cs="Arabic Transparent"/>
        </w:rPr>
        <w:t xml:space="preserve"> and Control,338-553,1965</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23-</w:t>
      </w:r>
      <w:proofErr w:type="spellStart"/>
      <w:r>
        <w:rPr>
          <w:rFonts w:ascii="Arabic Transparent" w:hAnsi="Arabic Transparent" w:cs="Arabic Transparent"/>
        </w:rPr>
        <w:t>Zimmerma,nn,H.j</w:t>
      </w:r>
      <w:proofErr w:type="spellEnd"/>
      <w:r>
        <w:rPr>
          <w:rFonts w:ascii="Arabic Transparent" w:hAnsi="Arabic Transparent" w:cs="Arabic Transparent"/>
        </w:rPr>
        <w:t xml:space="preserve"> Fuzzy set theory and </w:t>
      </w:r>
      <w:proofErr w:type="spellStart"/>
      <w:r>
        <w:rPr>
          <w:rFonts w:ascii="Arabic Transparent" w:hAnsi="Arabic Transparent" w:cs="Arabic Transparent"/>
        </w:rPr>
        <w:t>Application,kluwer</w:t>
      </w:r>
      <w:proofErr w:type="spellEnd"/>
      <w:r>
        <w:rPr>
          <w:rFonts w:ascii="Arabic Transparent" w:hAnsi="Arabic Transparent" w:cs="Arabic Transparent"/>
        </w:rPr>
        <w:t xml:space="preserve"> Academic</w:t>
      </w:r>
      <w:r>
        <w:rPr>
          <w:rFonts w:ascii="Arabic Transparent" w:hAnsi="Arabic Transparent" w:cs="Arabic Transparent"/>
          <w:rtl/>
        </w:rPr>
        <w:t xml:space="preserve"> </w:t>
      </w:r>
      <w:r>
        <w:rPr>
          <w:rFonts w:ascii="Arabic Transparent" w:hAnsi="Arabic Transparent" w:cs="Arabic Transparent"/>
        </w:rPr>
        <w:t>Publishers,Boston,1991</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Pr>
        <w:t>Abstract</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Pr>
        <w:t>The availability of date for the size of the underground economy is important</w:t>
      </w:r>
      <w:r>
        <w:rPr>
          <w:rFonts w:ascii="Arabic Transparent" w:hAnsi="Arabic Transparent" w:cs="Arabic Transparent"/>
          <w:rtl/>
        </w:rPr>
        <w:t xml:space="preserve"> </w:t>
      </w:r>
      <w:r>
        <w:rPr>
          <w:rFonts w:ascii="Arabic Transparent" w:hAnsi="Arabic Transparent" w:cs="Arabic Transparent"/>
        </w:rPr>
        <w:t xml:space="preserve">for macroeconomic </w:t>
      </w:r>
      <w:proofErr w:type="spellStart"/>
      <w:r>
        <w:rPr>
          <w:rFonts w:ascii="Arabic Transparent" w:hAnsi="Arabic Transparent" w:cs="Arabic Transparent"/>
        </w:rPr>
        <w:t>policy.We</w:t>
      </w:r>
      <w:proofErr w:type="spellEnd"/>
      <w:r>
        <w:rPr>
          <w:rFonts w:ascii="Arabic Transparent" w:hAnsi="Arabic Transparent" w:cs="Arabic Transparent"/>
        </w:rPr>
        <w:t xml:space="preserve"> use fuzzy set theory and fuzzy logic to construct an</w:t>
      </w:r>
      <w:r>
        <w:rPr>
          <w:rFonts w:ascii="Arabic Transparent" w:hAnsi="Arabic Transparent" w:cs="Arabic Transparent"/>
          <w:rtl/>
        </w:rPr>
        <w:t xml:space="preserve"> </w:t>
      </w:r>
      <w:r>
        <w:rPr>
          <w:rFonts w:ascii="Arabic Transparent" w:hAnsi="Arabic Transparent" w:cs="Arabic Transparent"/>
        </w:rPr>
        <w:t xml:space="preserve">annual time-series for </w:t>
      </w:r>
      <w:proofErr w:type="gramStart"/>
      <w:r>
        <w:rPr>
          <w:rFonts w:ascii="Arabic Transparent" w:hAnsi="Arabic Transparent" w:cs="Arabic Transparent"/>
        </w:rPr>
        <w:t>the(</w:t>
      </w:r>
      <w:proofErr w:type="gramEnd"/>
      <w:r>
        <w:rPr>
          <w:rFonts w:ascii="Arabic Transparent" w:hAnsi="Arabic Transparent" w:cs="Arabic Transparent"/>
        </w:rPr>
        <w:t>unobservable)Iran underground economy</w:t>
      </w:r>
      <w:r>
        <w:rPr>
          <w:rFonts w:ascii="Arabic Transparent" w:hAnsi="Arabic Transparent" w:cs="Arabic Transparent"/>
          <w:rtl/>
        </w:rPr>
        <w:t>&amp;</w:t>
      </w:r>
      <w:r>
        <w:rPr>
          <w:rFonts w:ascii="Arabic Transparent" w:hAnsi="Arabic Transparent" w:cs="Arabic Transparent"/>
        </w:rPr>
        <w:t xml:space="preserve">Tax </w:t>
      </w:r>
      <w:proofErr w:type="spellStart"/>
      <w:r>
        <w:rPr>
          <w:rFonts w:ascii="Arabic Transparent" w:hAnsi="Arabic Transparent" w:cs="Arabic Transparent"/>
        </w:rPr>
        <w:t>evison</w:t>
      </w:r>
      <w:proofErr w:type="spellEnd"/>
      <w:r>
        <w:rPr>
          <w:rFonts w:ascii="Arabic Transparent" w:hAnsi="Arabic Transparent" w:cs="Arabic Transparent"/>
          <w:rtl/>
        </w:rPr>
        <w:t xml:space="preserve"> </w:t>
      </w:r>
      <w:r>
        <w:rPr>
          <w:rFonts w:ascii="Arabic Transparent" w:hAnsi="Arabic Transparent" w:cs="Arabic Transparent"/>
        </w:rPr>
        <w:t xml:space="preserve">over the </w:t>
      </w:r>
      <w:proofErr w:type="spellStart"/>
      <w:r>
        <w:rPr>
          <w:rFonts w:ascii="Arabic Transparent" w:hAnsi="Arabic Transparent" w:cs="Arabic Transparent"/>
        </w:rPr>
        <w:t>priod</w:t>
      </w:r>
      <w:proofErr w:type="spellEnd"/>
      <w:r>
        <w:rPr>
          <w:rFonts w:ascii="Arabic Transparent" w:hAnsi="Arabic Transparent" w:cs="Arabic Transparent"/>
        </w:rPr>
        <w:t xml:space="preserve"> 1343 to 1378. </w:t>
      </w:r>
      <w:proofErr w:type="gramStart"/>
      <w:r>
        <w:rPr>
          <w:rFonts w:ascii="Arabic Transparent" w:hAnsi="Arabic Transparent" w:cs="Arabic Transparent"/>
        </w:rPr>
        <w:t>tow</w:t>
      </w:r>
      <w:proofErr w:type="gramEnd"/>
      <w:r>
        <w:rPr>
          <w:rFonts w:ascii="Arabic Transparent" w:hAnsi="Arabic Transparent" w:cs="Arabic Transparent"/>
        </w:rPr>
        <w:t xml:space="preserve"> input variables are used-the effective tax rate</w:t>
      </w:r>
      <w:r>
        <w:rPr>
          <w:rFonts w:ascii="Arabic Transparent" w:hAnsi="Arabic Transparent" w:cs="Arabic Transparent"/>
          <w:rtl/>
        </w:rPr>
        <w:t xml:space="preserve"> </w:t>
      </w:r>
      <w:r>
        <w:rPr>
          <w:rFonts w:ascii="Arabic Transparent" w:hAnsi="Arabic Transparent" w:cs="Arabic Transparent"/>
        </w:rPr>
        <w:t xml:space="preserve">and an index of the degree of </w:t>
      </w:r>
      <w:proofErr w:type="spellStart"/>
      <w:r>
        <w:rPr>
          <w:rFonts w:ascii="Arabic Transparent" w:hAnsi="Arabic Transparent" w:cs="Arabic Transparent"/>
        </w:rPr>
        <w:t>regulation.The</w:t>
      </w:r>
      <w:proofErr w:type="spellEnd"/>
      <w:r>
        <w:rPr>
          <w:rFonts w:ascii="Arabic Transparent" w:hAnsi="Arabic Transparent" w:cs="Arabic Transparent"/>
        </w:rPr>
        <w:t xml:space="preserve"> fuzzy logic approach to this</w:t>
      </w:r>
      <w:r>
        <w:rPr>
          <w:rFonts w:ascii="Arabic Transparent" w:hAnsi="Arabic Transparent" w:cs="Arabic Transparent"/>
          <w:rtl/>
        </w:rPr>
        <w:t xml:space="preserve"> </w:t>
      </w:r>
      <w:r>
        <w:rPr>
          <w:rFonts w:ascii="Arabic Transparent" w:hAnsi="Arabic Transparent" w:cs="Arabic Transparent"/>
        </w:rPr>
        <w:t xml:space="preserve">measurement problem involves several subjective </w:t>
      </w:r>
      <w:proofErr w:type="spellStart"/>
      <w:r>
        <w:rPr>
          <w:rFonts w:ascii="Arabic Transparent" w:hAnsi="Arabic Transparent" w:cs="Arabic Transparent"/>
        </w:rPr>
        <w:t>judgement,but</w:t>
      </w:r>
      <w:proofErr w:type="spellEnd"/>
      <w:r>
        <w:rPr>
          <w:rFonts w:ascii="Arabic Transparent" w:hAnsi="Arabic Transparent" w:cs="Arabic Transparent"/>
        </w:rPr>
        <w:t xml:space="preserve"> our results are</w:t>
      </w:r>
      <w:r>
        <w:rPr>
          <w:rFonts w:ascii="Arabic Transparent" w:hAnsi="Arabic Transparent" w:cs="Arabic Transparent"/>
          <w:rtl/>
        </w:rPr>
        <w:t xml:space="preserve"> </w:t>
      </w:r>
      <w:r>
        <w:rPr>
          <w:rFonts w:ascii="Arabic Transparent" w:hAnsi="Arabic Transparent" w:cs="Arabic Transparent"/>
        </w:rPr>
        <w:t>quite robust to these choices</w:t>
      </w:r>
    </w:p>
    <w:p w:rsidR="006E38C5" w:rsidRDefault="006E38C5" w:rsidP="006E38C5">
      <w:pPr>
        <w:pStyle w:val="NormalWeb"/>
        <w:rPr>
          <w:rFonts w:ascii="Arabic Transparent" w:hAnsi="Arabic Transparent" w:cs="Arabic Transparent"/>
          <w:rtl/>
        </w:rPr>
      </w:pPr>
      <w:proofErr w:type="spellStart"/>
      <w:r>
        <w:rPr>
          <w:rFonts w:ascii="Arabic Transparent" w:hAnsi="Arabic Transparent" w:cs="Arabic Transparent"/>
        </w:rPr>
        <w:t>KeyWord</w:t>
      </w:r>
      <w:proofErr w:type="gramStart"/>
      <w:r>
        <w:rPr>
          <w:rFonts w:ascii="Arabic Transparent" w:hAnsi="Arabic Transparent" w:cs="Arabic Transparent"/>
        </w:rPr>
        <w:t>:underground</w:t>
      </w:r>
      <w:proofErr w:type="spellEnd"/>
      <w:proofErr w:type="gramEnd"/>
      <w:r>
        <w:rPr>
          <w:rFonts w:ascii="Arabic Transparent" w:hAnsi="Arabic Transparent" w:cs="Arabic Transparent"/>
        </w:rPr>
        <w:t xml:space="preserve"> </w:t>
      </w:r>
      <w:proofErr w:type="spellStart"/>
      <w:r>
        <w:rPr>
          <w:rFonts w:ascii="Arabic Transparent" w:hAnsi="Arabic Transparent" w:cs="Arabic Transparent"/>
        </w:rPr>
        <w:t>Economy,Tax</w:t>
      </w:r>
      <w:proofErr w:type="spellEnd"/>
      <w:r>
        <w:rPr>
          <w:rFonts w:ascii="Arabic Transparent" w:hAnsi="Arabic Transparent" w:cs="Arabic Transparent"/>
        </w:rPr>
        <w:t xml:space="preserve"> </w:t>
      </w:r>
      <w:proofErr w:type="spellStart"/>
      <w:r>
        <w:rPr>
          <w:rFonts w:ascii="Arabic Transparent" w:hAnsi="Arabic Transparent" w:cs="Arabic Transparent"/>
        </w:rPr>
        <w:t>Evison,fuzzy</w:t>
      </w:r>
      <w:proofErr w:type="spellEnd"/>
      <w:r>
        <w:rPr>
          <w:rFonts w:ascii="Arabic Transparent" w:hAnsi="Arabic Transparent" w:cs="Arabic Transparent"/>
        </w:rPr>
        <w:t xml:space="preserve"> </w:t>
      </w:r>
      <w:proofErr w:type="spellStart"/>
      <w:r>
        <w:rPr>
          <w:rFonts w:ascii="Arabic Transparent" w:hAnsi="Arabic Transparent" w:cs="Arabic Transparent"/>
        </w:rPr>
        <w:t>set,fuzzy</w:t>
      </w:r>
      <w:proofErr w:type="spellEnd"/>
      <w:r>
        <w:rPr>
          <w:rFonts w:ascii="Arabic Transparent" w:hAnsi="Arabic Transparent" w:cs="Arabic Transparent"/>
        </w:rPr>
        <w:t xml:space="preserve"> </w:t>
      </w:r>
      <w:proofErr w:type="spellStart"/>
      <w:r>
        <w:rPr>
          <w:rFonts w:ascii="Arabic Transparent" w:hAnsi="Arabic Transparent" w:cs="Arabic Transparent"/>
        </w:rPr>
        <w:t>logic,effective</w:t>
      </w:r>
      <w:proofErr w:type="spellEnd"/>
      <w:r>
        <w:rPr>
          <w:rFonts w:ascii="Arabic Transparent" w:hAnsi="Arabic Transparent" w:cs="Arabic Transparent"/>
        </w:rPr>
        <w:t xml:space="preserve"> tax</w:t>
      </w:r>
      <w:r>
        <w:rPr>
          <w:rFonts w:ascii="Arabic Transparent" w:hAnsi="Arabic Transparent" w:cs="Arabic Transparent"/>
          <w:rtl/>
        </w:rPr>
        <w:t xml:space="preserve"> </w:t>
      </w:r>
      <w:proofErr w:type="spellStart"/>
      <w:r>
        <w:rPr>
          <w:rFonts w:ascii="Arabic Transparent" w:hAnsi="Arabic Transparent" w:cs="Arabic Transparent"/>
        </w:rPr>
        <w:t>rate,degree</w:t>
      </w:r>
      <w:proofErr w:type="spellEnd"/>
      <w:r>
        <w:rPr>
          <w:rFonts w:ascii="Arabic Transparent" w:hAnsi="Arabic Transparent" w:cs="Arabic Transparent"/>
        </w:rPr>
        <w:t xml:space="preserve"> of regulation</w:t>
      </w:r>
    </w:p>
    <w:p w:rsidR="006E38C5" w:rsidRDefault="006E38C5" w:rsidP="006E38C5">
      <w:pPr>
        <w:bidi/>
        <w:rPr>
          <w:rFonts w:ascii="Arabic Transparent" w:hAnsi="Arabic Transparent" w:cs="Arabic Transparent"/>
          <w:rtl/>
        </w:rPr>
      </w:pPr>
    </w:p>
    <w:p w:rsidR="006E38C5" w:rsidRDefault="006E38C5" w:rsidP="006E38C5">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 xml:space="preserve">1- استاديار گروه اقتصاد دانشگاه تربيت مدرس </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 xml:space="preserve">2- دانشجوى دوره دكترى دانشگاه تربيت مدرس </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3 ـ براى مثال به كارگاتا و گيلز (1998 و 1999) اشنايدر و انست (1998) گيلز و جانسون (1999) تراندل و اسنو (1999) بعنوان مرجع نگاه كنيد.</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4- شاخص مقررات براساس مجموعه‏اى از متغيرها از جمله اندازه دولت، بنگاههاى دولتى، كنترلهاى قيمتى، تورم، بازار سياه براى ارز، حقوق مالكيت بخش خصوصى، مقرارت و محدوديتهاى غيرتعرفه‏اى، اندازه بخش تجارت با استفاده از روش فازى ساخته شده است، كه شرح آن در مقاله ديگر از همين نويسنده آمده است.</w:t>
      </w:r>
    </w:p>
    <w:p w:rsidR="006E38C5" w:rsidRDefault="006E38C5" w:rsidP="006E38C5">
      <w:pPr>
        <w:pStyle w:val="NormalWeb"/>
        <w:rPr>
          <w:rFonts w:ascii="Arabic Transparent" w:hAnsi="Arabic Transparent" w:cs="Arabic Transparent"/>
          <w:rtl/>
        </w:rPr>
      </w:pPr>
      <w:r>
        <w:rPr>
          <w:rFonts w:ascii="Arabic Transparent" w:hAnsi="Arabic Transparent" w:cs="Arabic Transparent"/>
          <w:rtl/>
        </w:rPr>
        <w:t>5- شيوه تراز سرى شاخص بدست آمده براساس نتايج دو تحقيق عرب مازار (مدل چند شاخص چند علت) و اشرف‏زاده (مدل پولى شبساى) در يك سال كه نتيجه مشابه گزارش كرده‏اند و با ساير شواهد و مدارك سازگارى داشت صورت گرفته است.</w:t>
      </w:r>
    </w:p>
    <w:p w:rsidR="00B03E59" w:rsidRPr="006E38C5" w:rsidRDefault="00B03E59" w:rsidP="006E38C5"/>
    <w:sectPr w:rsidR="00B03E59" w:rsidRPr="006E38C5"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A6B77"/>
    <w:rsid w:val="00156C49"/>
    <w:rsid w:val="0017239D"/>
    <w:rsid w:val="00221E7D"/>
    <w:rsid w:val="002C3083"/>
    <w:rsid w:val="002D5B18"/>
    <w:rsid w:val="00392C44"/>
    <w:rsid w:val="003C354A"/>
    <w:rsid w:val="00425405"/>
    <w:rsid w:val="004815CB"/>
    <w:rsid w:val="005676F5"/>
    <w:rsid w:val="00686210"/>
    <w:rsid w:val="006E38C5"/>
    <w:rsid w:val="00721B72"/>
    <w:rsid w:val="00782A0C"/>
    <w:rsid w:val="007F2F09"/>
    <w:rsid w:val="0084266E"/>
    <w:rsid w:val="008D4BE6"/>
    <w:rsid w:val="009A29CB"/>
    <w:rsid w:val="00AD53F1"/>
    <w:rsid w:val="00AE5CD5"/>
    <w:rsid w:val="00B03E59"/>
    <w:rsid w:val="00B741BF"/>
    <w:rsid w:val="00B85A2A"/>
    <w:rsid w:val="00C04D32"/>
    <w:rsid w:val="00C25C80"/>
    <w:rsid w:val="00C3688F"/>
    <w:rsid w:val="00CB3A7F"/>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4201</Words>
  <Characters>23950</Characters>
  <Application>Microsoft Office Word</Application>
  <DocSecurity>0</DocSecurity>
  <Lines>199</Lines>
  <Paragraphs>56</Paragraphs>
  <ScaleCrop>false</ScaleCrop>
  <Company>MRT www.Win2Farsi.com</Company>
  <LinksUpToDate>false</LinksUpToDate>
  <CharactersWithSpaces>28095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2010-08-16T09:20:00Z</dcterms:created>
  <dcterms:modified xsi:type="dcterms:W3CDTF">2010-08-16T09:20:00Z</dcterms:modified>
</cp:coreProperties>
</file>