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45" w:type="dxa"/>
        <w:tblCellMar>
          <w:top w:w="135" w:type="dxa"/>
          <w:left w:w="135" w:type="dxa"/>
          <w:bottom w:w="135" w:type="dxa"/>
          <w:right w:w="135" w:type="dxa"/>
        </w:tblCellMar>
        <w:tblLook w:val="04A0"/>
      </w:tblPr>
      <w:tblGrid>
        <w:gridCol w:w="9810"/>
      </w:tblGrid>
      <w:tr w:rsidR="00001801" w:rsidRPr="00001801" w:rsidTr="00001801">
        <w:trPr>
          <w:tblCellSpacing w:w="45" w:type="dxa"/>
        </w:trPr>
        <w:tc>
          <w:tcPr>
            <w:tcW w:w="0" w:type="auto"/>
            <w:vAlign w:val="center"/>
            <w:hideMark/>
          </w:tcPr>
          <w:p w:rsidR="00001801" w:rsidRPr="00001801" w:rsidRDefault="00001801" w:rsidP="00001801">
            <w:pPr>
              <w:bidi/>
              <w:spacing w:before="100" w:beforeAutospacing="1" w:after="240" w:line="240" w:lineRule="auto"/>
              <w:jc w:val="center"/>
              <w:rPr>
                <w:rFonts w:ascii="Times New Roman" w:eastAsia="Times New Roman" w:hAnsi="Times New Roman" w:cs="B Nazanin"/>
                <w:sz w:val="24"/>
                <w:szCs w:val="24"/>
              </w:rPr>
            </w:pPr>
            <w:r w:rsidRPr="00001801">
              <w:rPr>
                <w:rFonts w:ascii="Times New Roman" w:eastAsia="Times New Roman" w:hAnsi="Times New Roman" w:cs="B Nazanin"/>
                <w:noProof/>
                <w:sz w:val="24"/>
                <w:szCs w:val="24"/>
              </w:rPr>
              <w:drawing>
                <wp:anchor distT="38100" distB="38100" distL="38100" distR="38100" simplePos="0" relativeHeight="251658240" behindDoc="0" locked="0" layoutInCell="1" allowOverlap="0">
                  <wp:simplePos x="0" y="0"/>
                  <wp:positionH relativeFrom="column">
                    <wp:align>right</wp:align>
                  </wp:positionH>
                  <wp:positionV relativeFrom="line">
                    <wp:posOffset>0</wp:posOffset>
                  </wp:positionV>
                  <wp:extent cx="2124075" cy="2857500"/>
                  <wp:effectExtent l="19050" t="0" r="9525" b="0"/>
                  <wp:wrapSquare wrapText="bothSides"/>
                  <wp:docPr id="21" name="Picture 7" descr="http://hesabras.org/Portals/_Rainbow/images/default/article/arzyab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sabras.org/Portals/_Rainbow/images/default/article/arzyabi2.jpg"/>
                          <pic:cNvPicPr>
                            <a:picLocks noChangeAspect="1" noChangeArrowheads="1"/>
                          </pic:cNvPicPr>
                        </pic:nvPicPr>
                        <pic:blipFill>
                          <a:blip r:embed="rId4"/>
                          <a:srcRect/>
                          <a:stretch>
                            <a:fillRect/>
                          </a:stretch>
                        </pic:blipFill>
                        <pic:spPr bwMode="auto">
                          <a:xfrm>
                            <a:off x="0" y="0"/>
                            <a:ext cx="2124075" cy="2857500"/>
                          </a:xfrm>
                          <a:prstGeom prst="rect">
                            <a:avLst/>
                          </a:prstGeom>
                          <a:noFill/>
                          <a:ln w="9525">
                            <a:noFill/>
                            <a:miter lim="800000"/>
                            <a:headEnd/>
                            <a:tailEnd/>
                          </a:ln>
                        </pic:spPr>
                      </pic:pic>
                    </a:graphicData>
                  </a:graphic>
                </wp:anchor>
              </w:drawing>
            </w:r>
            <w:r w:rsidRPr="00001801">
              <w:rPr>
                <w:rFonts w:ascii="Times New Roman" w:eastAsia="Times New Roman" w:hAnsi="Times New Roman" w:cs="B Nazanin"/>
                <w:sz w:val="24"/>
                <w:szCs w:val="24"/>
              </w:rPr>
              <w:br/>
            </w:r>
          </w:p>
          <w:p w:rsidR="00001801" w:rsidRPr="00001801" w:rsidRDefault="00001801" w:rsidP="00001801">
            <w:pPr>
              <w:bidi/>
              <w:spacing w:after="0" w:line="240" w:lineRule="auto"/>
              <w:jc w:val="right"/>
              <w:rPr>
                <w:rFonts w:ascii="Times New Roman" w:eastAsia="Times New Roman" w:hAnsi="Times New Roman" w:cs="B Nazanin"/>
                <w:sz w:val="24"/>
                <w:szCs w:val="24"/>
              </w:rPr>
            </w:pPr>
            <w:r w:rsidRPr="00001801">
              <w:rPr>
                <w:rFonts w:ascii="Times New Roman" w:eastAsia="Times New Roman" w:hAnsi="Times New Roman" w:cs="B Nazanin"/>
                <w:b/>
                <w:bCs/>
                <w:color w:val="800080"/>
                <w:sz w:val="24"/>
                <w:szCs w:val="24"/>
                <w:rtl/>
              </w:rPr>
              <w:t>ارزیابی و</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b/>
                <w:bCs/>
                <w:color w:val="800080"/>
                <w:sz w:val="24"/>
                <w:szCs w:val="24"/>
                <w:rtl/>
              </w:rPr>
              <w:t>حسابداری منابع انسانی و</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b/>
                <w:bCs/>
                <w:color w:val="800080"/>
                <w:sz w:val="24"/>
                <w:szCs w:val="24"/>
                <w:rtl/>
              </w:rPr>
              <w:t xml:space="preserve">تأثیر آن بر تصمیم‌گیری استفاده‌کنند‌گان </w:t>
            </w:r>
          </w:p>
          <w:p w:rsidR="00001801" w:rsidRPr="00001801" w:rsidRDefault="00001801" w:rsidP="00001801">
            <w:pPr>
              <w:bidi/>
              <w:spacing w:before="100" w:beforeAutospacing="1" w:after="100" w:afterAutospacing="1" w:line="240" w:lineRule="auto"/>
              <w:jc w:val="center"/>
              <w:rPr>
                <w:rFonts w:ascii="Times New Roman" w:eastAsia="Times New Roman" w:hAnsi="Times New Roman" w:cs="B Nazanin"/>
                <w:sz w:val="24"/>
                <w:szCs w:val="24"/>
              </w:rPr>
            </w:pPr>
          </w:p>
          <w:p w:rsidR="00001801" w:rsidRPr="00001801" w:rsidRDefault="00001801" w:rsidP="00001801">
            <w:pPr>
              <w:bidi/>
              <w:spacing w:before="100" w:beforeAutospacing="1" w:after="100" w:afterAutospacing="1" w:line="240" w:lineRule="auto"/>
              <w:jc w:val="center"/>
              <w:rPr>
                <w:rFonts w:ascii="Times New Roman" w:eastAsia="Times New Roman" w:hAnsi="Times New Roman" w:cs="B Nazanin"/>
                <w:sz w:val="24"/>
                <w:szCs w:val="24"/>
              </w:rPr>
            </w:pPr>
            <w:r w:rsidRPr="00001801">
              <w:rPr>
                <w:rFonts w:ascii="Times New Roman" w:eastAsia="Times New Roman" w:hAnsi="Times New Roman" w:cs="B Nazanin"/>
                <w:b/>
                <w:bCs/>
                <w:sz w:val="24"/>
                <w:szCs w:val="24"/>
              </w:rP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p>
          <w:p w:rsidR="00001801" w:rsidRPr="00001801" w:rsidRDefault="00001801" w:rsidP="00001801">
            <w:pPr>
              <w:bidi/>
              <w:spacing w:after="0"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00080"/>
                <w:sz w:val="24"/>
                <w:szCs w:val="24"/>
                <w:rtl/>
              </w:rPr>
              <w:t>پدیدآورندگان: دکتر داریوش فروغی</w:t>
            </w:r>
            <w:r w:rsidRPr="00001801">
              <w:rPr>
                <w:rFonts w:ascii="Times New Roman" w:eastAsia="Times New Roman" w:hAnsi="Times New Roman" w:cs="B Nazanin"/>
                <w:color w:val="000080"/>
                <w:sz w:val="24"/>
                <w:szCs w:val="24"/>
              </w:rPr>
              <w:br/>
            </w:r>
            <w:r w:rsidRPr="00001801">
              <w:rPr>
                <w:rFonts w:ascii="Times New Roman" w:eastAsia="Times New Roman" w:hAnsi="Times New Roman" w:cs="B Nazanin"/>
                <w:b/>
                <w:bCs/>
                <w:color w:val="000080"/>
                <w:sz w:val="24"/>
                <w:szCs w:val="24"/>
                <w:rtl/>
              </w:rPr>
              <w:t>مصطفی احمدی‌نژاد</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b/>
                <w:bCs/>
                <w:color w:val="0B4CA6"/>
                <w:sz w:val="24"/>
                <w:szCs w:val="24"/>
                <w:rtl/>
              </w:rPr>
              <w:t>مقدمه</w:t>
            </w:r>
            <w:r w:rsidRPr="00001801">
              <w:rPr>
                <w:rFonts w:ascii="Times New Roman" w:eastAsia="Times New Roman" w:hAnsi="Times New Roman" w:cs="B Nazanin"/>
                <w:sz w:val="24"/>
                <w:szCs w:val="24"/>
                <w:rtl/>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حسابداری مالی</w:t>
            </w:r>
            <w:r w:rsidRPr="00001801">
              <w:rPr>
                <w:rFonts w:ascii="Times New Roman" w:eastAsia="Times New Roman" w:hAnsi="Times New Roman" w:cs="B Nazanin"/>
                <w:sz w:val="24"/>
                <w:szCs w:val="24"/>
                <w:vertAlign w:val="superscript"/>
              </w:rPr>
              <w:t>1</w:t>
            </w:r>
            <w:r w:rsidRPr="00001801">
              <w:rPr>
                <w:rFonts w:ascii="Times New Roman" w:eastAsia="Times New Roman" w:hAnsi="Times New Roman" w:cs="B Nazanin"/>
                <w:sz w:val="24"/>
                <w:szCs w:val="24"/>
                <w:rtl/>
              </w:rPr>
              <w:t>، در فرایند افشای اطلاعات برای سهامداران و سایر استفاده‌کنندگان اطلاعات، مخارج تحمّل‌شده بابت نیروی انسانی (از قبیل مخارج مربوط به استخدام، آموزش ومهارت کارکنان) را به‌عنوان هزینه جاری شناسایی می‌کند. این نحوۀ برخورد با این مخارج به‌منزله نادیده گرفتن منافع آینده فراوانی است که شرکت می‌تواند از محل این داراییها به‌دست آورد. برخلاف داراییهای عینی، مشکلاتی بر سر راه گزارش کردن منابع انسانی به‌عنوان دارایی در ترازنامه وجود دارد که ذهنی و براوردی بودن معیارهای اندازه‌گیری منابع انسانی و مختار بودن انسان، از جمله عمده‌ترین این‌گونه مشکلات شمرده می‌شوند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به‌رغم وجود چنین مشکلاتی، می‌توان به صراحت اعلام کرد که نیروی کار هر شرکت و میزان وفاداری آنها نسبت به هدفهای شرکت، بزرگترین سرمایه آن محسوب می‌شود و از جمله مهمترین عواملی است که باعث ایجاد داراییهای ارزشمندی از قبیل سرقفلی، نام و شهرت تجاری وسایر امتیازات می‌شود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 توجه به اصول حسابداری مرسوم که فقط باید داراییهای خریداری و یا تولید شده در صورتهای مالی گزارش شوند، نیروی انسانی شرکتها را نمی‌توان در صورتهای مالی به‌عنوان دارایی گزارش کرد. در این‌صورت، بسیاری از شرکتها به‌ویژه شرکتهای خدماتی که میزان موفقیّت آنها در دستیابی به هدفهاشان به‌طور مستقیم به مهارت، تخصص و وفاداری کارکنان وابسته است، متضرر می‌شوند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Bozzolon</w:t>
            </w:r>
            <w:proofErr w:type="spellEnd"/>
            <w:r w:rsidRPr="00001801">
              <w:rPr>
                <w:rFonts w:ascii="Times New Roman" w:eastAsia="Times New Roman" w:hAnsi="Times New Roman" w:cs="B Nazanin"/>
                <w:sz w:val="24"/>
                <w:szCs w:val="24"/>
              </w:rPr>
              <w:t xml:space="preserve"> &amp; </w:t>
            </w:r>
            <w:proofErr w:type="spellStart"/>
            <w:r w:rsidRPr="00001801">
              <w:rPr>
                <w:rFonts w:ascii="Times New Roman" w:eastAsia="Times New Roman" w:hAnsi="Times New Roman" w:cs="B Nazanin"/>
                <w:sz w:val="24"/>
                <w:szCs w:val="24"/>
              </w:rPr>
              <w:t>Ricceri</w:t>
            </w:r>
            <w:proofErr w:type="spellEnd"/>
            <w:r w:rsidRPr="00001801">
              <w:rPr>
                <w:rFonts w:ascii="Times New Roman" w:eastAsia="Times New Roman" w:hAnsi="Times New Roman" w:cs="B Nazanin"/>
                <w:sz w:val="24"/>
                <w:szCs w:val="24"/>
              </w:rPr>
              <w:t xml:space="preserve">, 2006). </w:t>
            </w:r>
            <w:r w:rsidRPr="00001801">
              <w:rPr>
                <w:rFonts w:ascii="Times New Roman" w:eastAsia="Times New Roman" w:hAnsi="Times New Roman" w:cs="B Nazanin"/>
                <w:sz w:val="24"/>
                <w:szCs w:val="24"/>
                <w:rtl/>
              </w:rPr>
              <w:t>هدف این مقاله بررسی سودمندی گزارش منابع انسانی به‌عنوان دارایی در متن صورتهای مالی(و یا در یادداشتهای توضیحی) و ارائه مدلهای پیشنهادی برای ارزیابی و حسابداری منابع انسانی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مفهوم حسابداری منابع انسانی</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حسابداری منابع انسانی کوششی است برای شناسایی و گزارش سرمایه‌گذاری در نیروی انسانی که انتظار می‌رود منافعی مازاد بر </w:t>
            </w:r>
            <w:r w:rsidRPr="00001801">
              <w:rPr>
                <w:rFonts w:ascii="Times New Roman" w:eastAsia="Times New Roman" w:hAnsi="Times New Roman" w:cs="B Nazanin"/>
                <w:sz w:val="24"/>
                <w:szCs w:val="24"/>
                <w:rtl/>
              </w:rPr>
              <w:lastRenderedPageBreak/>
              <w:t>منافع عادی در آینده برای شرکت ایجاد کنند. بر اساس این تعریف، نیروی انسانی هر سازمانی، زمانی باید به‌عنوان دارایی در متن صورتهای مالی گزارش شوند که انتظار رود می‌توانند موجب افزایش سوداوری آینده شرکت از طریق بهبود تولید و ارائه کالاها و خدمات شوند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Flamholtz</w:t>
            </w:r>
            <w:proofErr w:type="spellEnd"/>
            <w:r w:rsidRPr="00001801">
              <w:rPr>
                <w:rFonts w:ascii="Times New Roman" w:eastAsia="Times New Roman" w:hAnsi="Times New Roman" w:cs="B Nazanin"/>
                <w:sz w:val="24"/>
                <w:szCs w:val="24"/>
              </w:rPr>
              <w:t xml:space="preserve"> et al., 2002)</w:t>
            </w:r>
            <w:proofErr w:type="gramStart"/>
            <w:r w:rsidRPr="00001801">
              <w:rPr>
                <w:rFonts w:ascii="Times New Roman" w:eastAsia="Times New Roman" w:hAnsi="Times New Roman" w:cs="B Nazanin"/>
                <w:sz w:val="24"/>
                <w:szCs w:val="24"/>
              </w:rPr>
              <w:t>.</w:t>
            </w:r>
            <w:proofErr w:type="gramEnd"/>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انجمن حسابداران رسمی امریکا</w:t>
            </w:r>
            <w:r w:rsidRPr="00001801">
              <w:rPr>
                <w:rFonts w:ascii="Times New Roman" w:eastAsia="Times New Roman" w:hAnsi="Times New Roman" w:cs="B Nazanin"/>
                <w:sz w:val="24"/>
                <w:szCs w:val="24"/>
              </w:rPr>
              <w:t xml:space="preserve"> (AICPA, 1983) </w:t>
            </w:r>
            <w:r w:rsidRPr="00001801">
              <w:rPr>
                <w:rFonts w:ascii="Times New Roman" w:eastAsia="Times New Roman" w:hAnsi="Times New Roman" w:cs="B Nazanin"/>
                <w:sz w:val="24"/>
                <w:szCs w:val="24"/>
                <w:rtl/>
              </w:rPr>
              <w:t>حسابداری منابع انسانی را بدین‌گونه تعریف کرده است: “حسابداری منابع انسانی فرایند شناسایی و اندازه‌گیری داده‌های مربوط به نیروی انسانی شرکتها و تبادل این اطلاعات با بخشهای ذینفع به‌منظور کمک به تصمیمهای استفاده‌کنندگان داخلی و خارجی سازمان است." سرمایه انسانی را می‌توان دانش اکتسابی اشخاص تعریف کرد که در طول حیات خویش به‌دست می‌آورند و از آن در تولید و ارائه کالا و خدمات بهتر، استفاده می‌کنند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Afiouni</w:t>
            </w:r>
            <w:proofErr w:type="spellEnd"/>
            <w:r w:rsidRPr="00001801">
              <w:rPr>
                <w:rFonts w:ascii="Times New Roman" w:eastAsia="Times New Roman" w:hAnsi="Times New Roman" w:cs="B Nazanin"/>
                <w:sz w:val="24"/>
                <w:szCs w:val="24"/>
              </w:rPr>
              <w:t>, 2007).</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هدفهای ارزیابی منابع انسانی: مهمترین هدف یک سیستم ارزیابی و گزارشگری منابع انسانی، کمک به امر تصمیم‌گیری استفاده‌کنندگان اطلاعات و سایر ذینفعان واحد تجاری است. به‌طور خلاصه، هدفهای کلّی گزارش منابع </w:t>
            </w:r>
            <w:r w:rsidRPr="00001801">
              <w:rPr>
                <w:rFonts w:ascii="Times New Roman" w:eastAsia="Times New Roman" w:hAnsi="Times New Roman" w:cs="B Nazanin"/>
                <w:noProof/>
                <w:sz w:val="24"/>
                <w:szCs w:val="24"/>
              </w:rPr>
              <w:drawing>
                <wp:anchor distT="57150" distB="57150" distL="57150" distR="57150" simplePos="0" relativeHeight="251658240" behindDoc="0" locked="0" layoutInCell="1" allowOverlap="0">
                  <wp:simplePos x="0" y="0"/>
                  <wp:positionH relativeFrom="column">
                    <wp:align>left</wp:align>
                  </wp:positionH>
                  <wp:positionV relativeFrom="line">
                    <wp:posOffset>0</wp:posOffset>
                  </wp:positionV>
                  <wp:extent cx="2857500" cy="2257425"/>
                  <wp:effectExtent l="19050" t="0" r="0" b="0"/>
                  <wp:wrapSquare wrapText="bothSides"/>
                  <wp:docPr id="20" name="Picture 8" descr="http://hesabras.org/Portals/_Rainbow/images/default/article/arzy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esabras.org/Portals/_Rainbow/images/default/article/arzyabi.jpg"/>
                          <pic:cNvPicPr>
                            <a:picLocks noChangeAspect="1" noChangeArrowheads="1"/>
                          </pic:cNvPicPr>
                        </pic:nvPicPr>
                        <pic:blipFill>
                          <a:blip r:embed="rId5"/>
                          <a:srcRect/>
                          <a:stretch>
                            <a:fillRect/>
                          </a:stretch>
                        </pic:blipFill>
                        <pic:spPr bwMode="auto">
                          <a:xfrm>
                            <a:off x="0" y="0"/>
                            <a:ext cx="2857500" cy="2257425"/>
                          </a:xfrm>
                          <a:prstGeom prst="rect">
                            <a:avLst/>
                          </a:prstGeom>
                          <a:noFill/>
                          <a:ln w="9525">
                            <a:noFill/>
                            <a:miter lim="800000"/>
                            <a:headEnd/>
                            <a:tailEnd/>
                          </a:ln>
                        </pic:spPr>
                      </pic:pic>
                    </a:graphicData>
                  </a:graphic>
                </wp:anchor>
              </w:drawing>
            </w:r>
            <w:r w:rsidRPr="00001801">
              <w:rPr>
                <w:rFonts w:ascii="Times New Roman" w:eastAsia="Times New Roman" w:hAnsi="Times New Roman" w:cs="B Nazanin"/>
                <w:sz w:val="24"/>
                <w:szCs w:val="24"/>
                <w:rtl/>
              </w:rPr>
              <w:t>انسانی بدین ‌شرح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الف) بهبود روشهای اندازه‌گیری هزینه‌ها،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 استفاده مؤثر مدیریت از داراییهای انسانی، و</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ج) طراحی چارچوبی برای نمایش ارزش کارکنان متخصص سازمانها</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Batra</w:t>
            </w:r>
            <w:proofErr w:type="spellEnd"/>
            <w:r w:rsidRPr="00001801">
              <w:rPr>
                <w:rFonts w:ascii="Times New Roman" w:eastAsia="Times New Roman" w:hAnsi="Times New Roman" w:cs="B Nazanin"/>
                <w:sz w:val="24"/>
                <w:szCs w:val="24"/>
              </w:rPr>
              <w:t>, 1996).</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اگرچه حسابداری منابع انسانی در شکلها و قالبهای مختلف برای بهبود گزارشگری مالی استفاده می‌شود، لیکن بهترین منفعت آن احتمالاً این است که ابزاری مدیریتی برای کنترل و ارزشیابی کارکنان شرکت فراهم می‌آورد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تولسون و فیلیپ</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Toulson</w:t>
            </w:r>
            <w:proofErr w:type="spellEnd"/>
            <w:r w:rsidRPr="00001801">
              <w:rPr>
                <w:rFonts w:ascii="Times New Roman" w:eastAsia="Times New Roman" w:hAnsi="Times New Roman" w:cs="B Nazanin"/>
                <w:sz w:val="24"/>
                <w:szCs w:val="24"/>
              </w:rPr>
              <w:t xml:space="preserve"> &amp; Philip, 2004)</w:t>
            </w:r>
            <w:r w:rsidRPr="00001801">
              <w:rPr>
                <w:rFonts w:ascii="Times New Roman" w:eastAsia="Times New Roman" w:hAnsi="Times New Roman" w:cs="B Nazanin"/>
                <w:sz w:val="24"/>
                <w:szCs w:val="24"/>
                <w:rtl/>
              </w:rPr>
              <w:t>، بیان می‌کنند که حسابداری به‌عنوان یکی از شاخه‌های علوم اجتماعی در صدد گزارش وضعیت مالی و عملکرد اقتصادی اشخاص حقیقی و حقوقی است. زمانی که متغیری به نام انسان در گزارش وضعیت مالی و نتیجه عملیات مدنظر قرار نگیرد، ارزشهای انسانی نیز جایی در سیستم حسابداری نخواهند داشت. به‌نظر می‌رسد به‌منظور حصول به هدفهای زیر، مهمترین وظایف حسابداری منابع انسانی در سازمان به شرح زیر خواهند بود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ثبت ارزش اقتصادی انسان در گزارشهای مالی،</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احتساب سرمایه‌گذاری یک سازمان در منابع انسانی خود،</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افزایش کارایی مدیریت منابع انسانی و ایجاد امکاناتی برای ارزشیابی خط‌مشی‌های پرسنلی نظیر برنامه‌های آموزشی و توجیهی،</w:t>
            </w:r>
            <w:r w:rsidRPr="00001801">
              <w:rPr>
                <w:rFonts w:ascii="Times New Roman" w:eastAsia="Times New Roman" w:hAnsi="Times New Roman" w:cs="B Nazanin"/>
                <w:sz w:val="24"/>
                <w:szCs w:val="24"/>
              </w:rPr>
              <w:br/>
              <w:t xml:space="preserve">4- </w:t>
            </w:r>
            <w:r w:rsidRPr="00001801">
              <w:rPr>
                <w:rFonts w:ascii="Times New Roman" w:eastAsia="Times New Roman" w:hAnsi="Times New Roman" w:cs="B Nazanin"/>
                <w:sz w:val="24"/>
                <w:szCs w:val="24"/>
                <w:rtl/>
              </w:rPr>
              <w:t>ارزیابی منابع انسانی یک سازمان از این نظر که حفظ شده، تحلیل رفته و یا توسعه یافته است،</w:t>
            </w:r>
            <w:r w:rsidRPr="00001801">
              <w:rPr>
                <w:rFonts w:ascii="Times New Roman" w:eastAsia="Times New Roman" w:hAnsi="Times New Roman" w:cs="B Nazanin"/>
                <w:sz w:val="24"/>
                <w:szCs w:val="24"/>
              </w:rPr>
              <w:br/>
              <w:t xml:space="preserve">5- </w:t>
            </w:r>
            <w:r w:rsidRPr="00001801">
              <w:rPr>
                <w:rFonts w:ascii="Times New Roman" w:eastAsia="Times New Roman" w:hAnsi="Times New Roman" w:cs="B Nazanin"/>
                <w:sz w:val="24"/>
                <w:szCs w:val="24"/>
                <w:rtl/>
              </w:rPr>
              <w:t>شناسایی سود غیرعملیاتی و بهره‌وری ایجادشده ناشی از سرمایه‌گذاری در منابع انسانی، و</w:t>
            </w:r>
            <w:r w:rsidRPr="00001801">
              <w:rPr>
                <w:rFonts w:ascii="Times New Roman" w:eastAsia="Times New Roman" w:hAnsi="Times New Roman" w:cs="B Nazanin"/>
                <w:sz w:val="24"/>
                <w:szCs w:val="24"/>
              </w:rPr>
              <w:br/>
              <w:t xml:space="preserve">6- </w:t>
            </w:r>
            <w:r w:rsidRPr="00001801">
              <w:rPr>
                <w:rFonts w:ascii="Times New Roman" w:eastAsia="Times New Roman" w:hAnsi="Times New Roman" w:cs="B Nazanin"/>
                <w:sz w:val="24"/>
                <w:szCs w:val="24"/>
                <w:rtl/>
              </w:rPr>
              <w:t>محاسبه میزان ارزشی که منابع انسانی در سایر منابع مالی و فیزیکی یک سازمان ایجاد می‌کند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لیکرت و پایل</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Likert</w:t>
            </w:r>
            <w:proofErr w:type="spellEnd"/>
            <w:r w:rsidRPr="00001801">
              <w:rPr>
                <w:rFonts w:ascii="Times New Roman" w:eastAsia="Times New Roman" w:hAnsi="Times New Roman" w:cs="B Nazanin"/>
                <w:sz w:val="24"/>
                <w:szCs w:val="24"/>
              </w:rPr>
              <w:t xml:space="preserve"> &amp; Pyle, 1971) </w:t>
            </w:r>
            <w:r w:rsidRPr="00001801">
              <w:rPr>
                <w:rFonts w:ascii="Times New Roman" w:eastAsia="Times New Roman" w:hAnsi="Times New Roman" w:cs="B Nazanin"/>
                <w:sz w:val="24"/>
                <w:szCs w:val="24"/>
                <w:rtl/>
              </w:rPr>
              <w:t>یکی از اولین مدافعان این قضیه، فهرست زیر را از هدفهای حسابداری منابع انسانی تهیه کرده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پایان دادن به رویکرد هزینه تلقی کردن مبالغ پرداختی جهت استخدام، آموزش و حفظ نیروی انسانی به‌منظور رعایت بهتر اصل تطابق هزینه‌ها با درامدها،</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lastRenderedPageBreak/>
              <w:t xml:space="preserve">2- </w:t>
            </w:r>
            <w:r w:rsidRPr="00001801">
              <w:rPr>
                <w:rFonts w:ascii="Times New Roman" w:eastAsia="Times New Roman" w:hAnsi="Times New Roman" w:cs="B Nazanin"/>
                <w:sz w:val="24"/>
                <w:szCs w:val="24"/>
                <w:rtl/>
              </w:rPr>
              <w:t>مدیریت کارای نیروی انسانی از طریق شناسایی افراد خبره در دستیابی به هدفهای شرکت،</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ارائه رویکردی مؤثر و مناسب برای کنترل داراییها،‌ و</w:t>
            </w:r>
            <w:r w:rsidRPr="00001801">
              <w:rPr>
                <w:rFonts w:ascii="Times New Roman" w:eastAsia="Times New Roman" w:hAnsi="Times New Roman" w:cs="B Nazanin"/>
                <w:sz w:val="24"/>
                <w:szCs w:val="24"/>
              </w:rPr>
              <w:br/>
              <w:t xml:space="preserve">4- </w:t>
            </w:r>
            <w:r w:rsidRPr="00001801">
              <w:rPr>
                <w:rFonts w:ascii="Times New Roman" w:eastAsia="Times New Roman" w:hAnsi="Times New Roman" w:cs="B Nazanin"/>
                <w:sz w:val="24"/>
                <w:szCs w:val="24"/>
                <w:rtl/>
              </w:rPr>
              <w:t>کمک به بهبود برنامه‌ریزی مدیران از طریق تفکیک هزینه‌ها بر حسب ماهیّت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پیشینه تاریخی حسابداری منابع انسانی: حسابداری منابع انسانی نیز مانند سایر علوم بشری، سیری تکاملی را تاکنون طی کرده است و این سیر در آینده نیز ادامه خواهد داشت تا اینکه بتواند نقشی مؤثر در گزارشگری مالی ایفا کند. اولین نظریه‌های حسابداری منابع انسانی توسط افرادی مانند هرمانسون</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Hermanson</w:t>
            </w:r>
            <w:proofErr w:type="spellEnd"/>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tl/>
              </w:rPr>
              <w:t>، اسچوارتز</w:t>
            </w:r>
            <w:r w:rsidRPr="00001801">
              <w:rPr>
                <w:rFonts w:ascii="Times New Roman" w:eastAsia="Times New Roman" w:hAnsi="Times New Roman" w:cs="B Nazanin"/>
                <w:sz w:val="24"/>
                <w:szCs w:val="24"/>
              </w:rPr>
              <w:t xml:space="preserve"> (Schwartz) </w:t>
            </w:r>
            <w:r w:rsidRPr="00001801">
              <w:rPr>
                <w:rFonts w:ascii="Times New Roman" w:eastAsia="Times New Roman" w:hAnsi="Times New Roman" w:cs="B Nazanin"/>
                <w:sz w:val="24"/>
                <w:szCs w:val="24"/>
                <w:rtl/>
              </w:rPr>
              <w:t xml:space="preserve">و لیوارد </w:t>
            </w:r>
            <w:r w:rsidRPr="00001801">
              <w:rPr>
                <w:rFonts w:ascii="Times New Roman" w:eastAsia="Times New Roman" w:hAnsi="Times New Roman" w:cs="B Nazanin"/>
                <w:sz w:val="24"/>
                <w:szCs w:val="24"/>
              </w:rPr>
              <w:t>(</w:t>
            </w:r>
            <w:proofErr w:type="spellStart"/>
            <w:r w:rsidRPr="00001801">
              <w:rPr>
                <w:rFonts w:ascii="Times New Roman" w:eastAsia="Times New Roman" w:hAnsi="Times New Roman" w:cs="B Nazanin"/>
                <w:sz w:val="24"/>
                <w:szCs w:val="24"/>
              </w:rPr>
              <w:t>Livard</w:t>
            </w:r>
            <w:proofErr w:type="spellEnd"/>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ارائه شده است. به‌طور کلی، تحقیقات انجام‌شده در این زمینه شامل موارد زیر است</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لیکرت و همکاران</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Likert</w:t>
            </w:r>
            <w:proofErr w:type="spellEnd"/>
            <w:r w:rsidRPr="00001801">
              <w:rPr>
                <w:rFonts w:ascii="Times New Roman" w:eastAsia="Times New Roman" w:hAnsi="Times New Roman" w:cs="B Nazanin"/>
                <w:sz w:val="24"/>
                <w:szCs w:val="24"/>
              </w:rPr>
              <w:t xml:space="preserve"> et al., 1967) </w:t>
            </w:r>
            <w:r w:rsidRPr="00001801">
              <w:rPr>
                <w:rFonts w:ascii="Times New Roman" w:eastAsia="Times New Roman" w:hAnsi="Times New Roman" w:cs="B Nazanin"/>
                <w:sz w:val="24"/>
                <w:szCs w:val="24"/>
                <w:rtl/>
              </w:rPr>
              <w:t>در پژوهشی کاربردهای سیستم حسابداری منابع انسانی را برای سازمانها بررسی کردند. نتایج پژوهش آنها نشان داد که به عقیده حسابرسان، بهای تمام‌شده به‌کارگیری و آموزش کارکنان باید به‌عنوان دارایی در متن صورتهای مالی و یا در یادداشتهای توضیحی افشا شود؛ زیرا به عقیدۀ آنان، تصمیمهای مهم و راهبردی مدیریت بیش از آنکه به توان مالی و ظرفیت شرکت وابسته باشد، بر مبنای توان کارکنان و میزان تخصص و کارایی آنها گرفته می‌شود. همچنین، مدیران ارشد سازمانها نیز معتقد بودند که با داشتن اطلاعاتی دربارۀ کارکنان خبره و ماهر می‌توانند برنامه‌ریزی‌های بهتری را برای سازمان انجام دهند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باترا</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Batra</w:t>
            </w:r>
            <w:proofErr w:type="spellEnd"/>
            <w:r w:rsidRPr="00001801">
              <w:rPr>
                <w:rFonts w:ascii="Times New Roman" w:eastAsia="Times New Roman" w:hAnsi="Times New Roman" w:cs="B Nazanin"/>
                <w:sz w:val="24"/>
                <w:szCs w:val="24"/>
              </w:rPr>
              <w:t xml:space="preserve">, 1996) </w:t>
            </w:r>
            <w:r w:rsidRPr="00001801">
              <w:rPr>
                <w:rFonts w:ascii="Times New Roman" w:eastAsia="Times New Roman" w:hAnsi="Times New Roman" w:cs="B Nazanin"/>
                <w:sz w:val="24"/>
                <w:szCs w:val="24"/>
                <w:rtl/>
              </w:rPr>
              <w:t>در پژوهشی تاثیر افشای اطلاعات مربوط به نیروی انسانی بر تصمیمهای استفاده‌کنندگان درون و برون‌سازمانی را بررسی کرد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نتایج پژوهش وی نشان داد که افشای اطلاعات مربوط به نیروی انسانی برای مدیریت بهینه کارکنان و تصمیم‌گیریهای مربوط به مبالغ قراردادهای آنها مفید واقع می‌شود و استفاده‌کنندگان برون‌سازمانی نیز گزارشهای حاوی اطلاعات مربوط به منابع انسانی را مطلوبتر از گزارشهای مرسوم ارزیابی می‌کنند. همچنین، نتایج پژوهش وی گویای این موضوع بود که اجرای طرحهای انگیزشی و قدردانی کارکنان، مهمترین عامل در انجام دقیق و به‌موقع وظایف توسط آنان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لیو و اسچوارتز</w:t>
            </w:r>
            <w:r w:rsidRPr="00001801">
              <w:rPr>
                <w:rFonts w:ascii="Times New Roman" w:eastAsia="Times New Roman" w:hAnsi="Times New Roman" w:cs="B Nazanin"/>
                <w:sz w:val="24"/>
                <w:szCs w:val="24"/>
              </w:rPr>
              <w:t xml:space="preserve"> (Lev &amp; Schwartz, 1971) </w:t>
            </w:r>
            <w:r w:rsidRPr="00001801">
              <w:rPr>
                <w:rFonts w:ascii="Times New Roman" w:eastAsia="Times New Roman" w:hAnsi="Times New Roman" w:cs="B Nazanin"/>
                <w:sz w:val="24"/>
                <w:szCs w:val="24"/>
                <w:rtl/>
              </w:rPr>
              <w:t>در پژوهشی اثر افشای اطلاعات مربوط به بهای تمام‌شده منابع انسانی بر تصمیمهای سرمایه‌گذاران را بررسی کردند. نتایج پژوهش آنها نشان داد سهام شرکتهایی که اطلاعات مربوط به منابع انسانی را گزارش می‌کردند، به‌طور چشمگیری بیشتر مورد استقبال سرمایه‌گذاران قرار گرفته ‌است. همچنین، اینکه اطلاعات حسابداری منابع انسانی به‌طور چشمگیری سود خالص شرکت را در مقایسه با اطلاعات مالی مرسوم، بهتر پیش‌بینی می‌کند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شرکت بامی</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Bamy</w:t>
            </w:r>
            <w:proofErr w:type="spellEnd"/>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برای اولین بار در هندوستان برای مدّت چند سال به‌طور آزمایشی منابع انسانی خود را به‌عنوان دارایی در متن صورتهای مالی گزارش کرد. هدف آنها از انجام چنین کاری، شناسایی تاثیر صورتهای مالی حاوی داراییهای انسانی بر تصمیمهای استفاده‌کنندگان بود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نتایج انتشار صورتهای مالی حاوی داراییهای انسانی، گویای این موضوع بود که استفاده‌کنندگان اطلاعات مالی در صورت شناخت از ترکیب منابع انسانی شرکتها می‌توانند در رابطه با نحوۀ سرمایه‌گذاری خود، تصمیم‌گیریهای روشنتر و بهتری انجام دهند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ارزیابی منابع انسانی</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همان‌طور که ذکر شد، ارائه اطلاعات مربوط به نیروی انسانی هر شرکتی موجب بهبود تصمیمهای استفاده‌کنندگان درون و برون‌سازمانی می‌شود. ولی باید توجه داشت که گزارش اطلاعات مربوط به نیروی انسانی، در مرحله اوّل مستلزم ارزشیابی و طبقه‌بندی صحیح چنین منابعی بر حسب مهارت و تخصص آنها در رسیدن به هدفهای سازمان است. تاکنون، مدلهای مختلفی برای ارزیابی منابع انسانی ارائه شده‌اند، که برخی از آنها عبارتند از</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مدل رفتاری2،</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lastRenderedPageBreak/>
              <w:t xml:space="preserve">2- </w:t>
            </w:r>
            <w:r w:rsidRPr="00001801">
              <w:rPr>
                <w:rFonts w:ascii="Times New Roman" w:eastAsia="Times New Roman" w:hAnsi="Times New Roman" w:cs="B Nazanin"/>
                <w:sz w:val="24"/>
                <w:szCs w:val="24"/>
                <w:rtl/>
              </w:rPr>
              <w:t>روش هزینه واقعی (تاریخی)3،</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روش مزایده رقابتی4،</w:t>
            </w:r>
            <w:r w:rsidRPr="00001801">
              <w:rPr>
                <w:rFonts w:ascii="Times New Roman" w:eastAsia="Times New Roman" w:hAnsi="Times New Roman" w:cs="B Nazanin"/>
                <w:sz w:val="24"/>
                <w:szCs w:val="24"/>
              </w:rPr>
              <w:br/>
              <w:t xml:space="preserve">4- </w:t>
            </w:r>
            <w:r w:rsidRPr="00001801">
              <w:rPr>
                <w:rFonts w:ascii="Times New Roman" w:eastAsia="Times New Roman" w:hAnsi="Times New Roman" w:cs="B Nazanin"/>
                <w:sz w:val="24"/>
                <w:szCs w:val="24"/>
                <w:rtl/>
              </w:rPr>
              <w:t>روش بهای استاندارد5،</w:t>
            </w:r>
            <w:r w:rsidRPr="00001801">
              <w:rPr>
                <w:rFonts w:ascii="Times New Roman" w:eastAsia="Times New Roman" w:hAnsi="Times New Roman" w:cs="B Nazanin"/>
                <w:sz w:val="24"/>
                <w:szCs w:val="24"/>
              </w:rPr>
              <w:br/>
              <w:t xml:space="preserve">5- </w:t>
            </w:r>
            <w:r w:rsidRPr="00001801">
              <w:rPr>
                <w:rFonts w:ascii="Times New Roman" w:eastAsia="Times New Roman" w:hAnsi="Times New Roman" w:cs="B Nazanin"/>
                <w:sz w:val="24"/>
                <w:szCs w:val="24"/>
                <w:rtl/>
              </w:rPr>
              <w:t>روش لیو و اسچوارتز6 و</w:t>
            </w:r>
            <w:r w:rsidRPr="00001801">
              <w:rPr>
                <w:rFonts w:ascii="Times New Roman" w:eastAsia="Times New Roman" w:hAnsi="Times New Roman" w:cs="B Nazanin"/>
                <w:sz w:val="24"/>
                <w:szCs w:val="24"/>
              </w:rPr>
              <w:br/>
              <w:t xml:space="preserve">6- </w:t>
            </w:r>
            <w:r w:rsidRPr="00001801">
              <w:rPr>
                <w:rFonts w:ascii="Times New Roman" w:eastAsia="Times New Roman" w:hAnsi="Times New Roman" w:cs="B Nazanin"/>
                <w:sz w:val="24"/>
                <w:szCs w:val="24"/>
                <w:rtl/>
              </w:rPr>
              <w:t>روش ارزیابی گروهی جاگی و لیو7</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از میان مدلهای فوق، مدل لیو و اسچوارتز تقریباً جامعتر از دیگر مدلها می‌باشد و هماهنگی بیشتری با استانداردهای حسابداری دارد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این مدل، شرکت را قادر می‌سازد تا ارزش منابع انسانی خود را مانند دیگر داراییهای فیزیکی محاسبه کند. در مدل لیو و اسچوارتز، ارزش جاری یک کارمند از طریق کسر کردن بهای سرمایه‌گذاری‌شده در کارمند از منافع مورد انتظار آن کارمند به‌دست می‌آید. هنگامی که قابلیت دسترسی به اطلاعات تحلیلی ممکن و سنجش کارکنان نیز اهمیت داشته باشد، این روش عملی و کاربردی است. این مدل برای اولین بار در دهه 1970-1960 توسط شرکتهایی از قبیل تلکو</w:t>
            </w:r>
            <w:r w:rsidRPr="00001801">
              <w:rPr>
                <w:rFonts w:ascii="Times New Roman" w:eastAsia="Times New Roman" w:hAnsi="Times New Roman" w:cs="B Nazanin"/>
                <w:sz w:val="24"/>
                <w:szCs w:val="24"/>
              </w:rPr>
              <w:t xml:space="preserve"> (TELCO)</w:t>
            </w:r>
            <w:r w:rsidRPr="00001801">
              <w:rPr>
                <w:rFonts w:ascii="Times New Roman" w:eastAsia="Times New Roman" w:hAnsi="Times New Roman" w:cs="B Nazanin"/>
                <w:sz w:val="24"/>
                <w:szCs w:val="24"/>
                <w:rtl/>
              </w:rPr>
              <w:t>، ای سی سی</w:t>
            </w:r>
            <w:r w:rsidRPr="00001801">
              <w:rPr>
                <w:rFonts w:ascii="Times New Roman" w:eastAsia="Times New Roman" w:hAnsi="Times New Roman" w:cs="B Nazanin"/>
                <w:sz w:val="24"/>
                <w:szCs w:val="24"/>
              </w:rPr>
              <w:t xml:space="preserve"> (ACC)</w:t>
            </w:r>
            <w:r w:rsidRPr="00001801">
              <w:rPr>
                <w:rFonts w:ascii="Times New Roman" w:eastAsia="Times New Roman" w:hAnsi="Times New Roman" w:cs="B Nazanin"/>
                <w:sz w:val="24"/>
                <w:szCs w:val="24"/>
                <w:rtl/>
              </w:rPr>
              <w:t>، اسپیک</w:t>
            </w:r>
            <w:r w:rsidRPr="00001801">
              <w:rPr>
                <w:rFonts w:ascii="Times New Roman" w:eastAsia="Times New Roman" w:hAnsi="Times New Roman" w:cs="B Nazanin"/>
                <w:sz w:val="24"/>
                <w:szCs w:val="24"/>
              </w:rPr>
              <w:t xml:space="preserve"> (SPIC)</w:t>
            </w:r>
            <w:r w:rsidRPr="00001801">
              <w:rPr>
                <w:rFonts w:ascii="Times New Roman" w:eastAsia="Times New Roman" w:hAnsi="Times New Roman" w:cs="B Nazanin"/>
                <w:sz w:val="24"/>
                <w:szCs w:val="24"/>
                <w:rtl/>
              </w:rPr>
              <w:t xml:space="preserve">، اییل </w:t>
            </w:r>
            <w:r w:rsidRPr="00001801">
              <w:rPr>
                <w:rFonts w:ascii="Times New Roman" w:eastAsia="Times New Roman" w:hAnsi="Times New Roman" w:cs="B Nazanin"/>
                <w:sz w:val="24"/>
                <w:szCs w:val="24"/>
              </w:rPr>
              <w:t>(EIL)</w:t>
            </w:r>
            <w:r w:rsidRPr="00001801">
              <w:rPr>
                <w:rFonts w:ascii="Times New Roman" w:eastAsia="Times New Roman" w:hAnsi="Times New Roman" w:cs="B Nazanin"/>
                <w:sz w:val="24"/>
                <w:szCs w:val="24"/>
                <w:rtl/>
              </w:rPr>
              <w:t>، ام ام تی سی</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Mmtc</w:t>
            </w:r>
            <w:proofErr w:type="spellEnd"/>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tl/>
              </w:rPr>
              <w:t>، و اونل</w:t>
            </w:r>
            <w:r w:rsidRPr="00001801">
              <w:rPr>
                <w:rFonts w:ascii="Times New Roman" w:eastAsia="Times New Roman" w:hAnsi="Times New Roman" w:cs="B Nazanin"/>
                <w:sz w:val="24"/>
                <w:szCs w:val="24"/>
              </w:rPr>
              <w:t xml:space="preserve"> (ONEL) </w:t>
            </w:r>
            <w:r w:rsidRPr="00001801">
              <w:rPr>
                <w:rFonts w:ascii="Times New Roman" w:eastAsia="Times New Roman" w:hAnsi="Times New Roman" w:cs="B Nazanin"/>
                <w:sz w:val="24"/>
                <w:szCs w:val="24"/>
                <w:rtl/>
              </w:rPr>
              <w:t>در کشور هندوستان به‌کار گرفته شد. براساس این مدل، ارزش منابع انسانی برمبنای خالص ارزش فعلی درامدهای مورد انتظار آینده کارکنان به‌شرح زیر محاسبه می‌شود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Batra</w:t>
            </w:r>
            <w:proofErr w:type="spellEnd"/>
            <w:r w:rsidRPr="00001801">
              <w:rPr>
                <w:rFonts w:ascii="Times New Roman" w:eastAsia="Times New Roman" w:hAnsi="Times New Roman" w:cs="B Nazanin"/>
                <w:sz w:val="24"/>
                <w:szCs w:val="24"/>
              </w:rPr>
              <w:t>, 1996):</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400050"/>
                  <wp:effectExtent l="19050" t="0" r="0" b="0"/>
                  <wp:wrapSquare wrapText="bothSides"/>
                  <wp:docPr id="19" name="Picture 9" descr="http://hesabras.org/Portals/_Rainbow/images/default/article/arzyab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esabras.org/Portals/_Rainbow/images/default/article/arzyabi_1.jpg"/>
                          <pic:cNvPicPr>
                            <a:picLocks noChangeAspect="1" noChangeArrowheads="1"/>
                          </pic:cNvPicPr>
                        </pic:nvPicPr>
                        <pic:blipFill>
                          <a:blip r:embed="rId6" cstate="print"/>
                          <a:srcRect/>
                          <a:stretch>
                            <a:fillRect/>
                          </a:stretch>
                        </pic:blipFill>
                        <pic:spPr bwMode="auto">
                          <a:xfrm>
                            <a:off x="0" y="0"/>
                            <a:ext cx="1428750" cy="400050"/>
                          </a:xfrm>
                          <a:prstGeom prst="rect">
                            <a:avLst/>
                          </a:prstGeom>
                          <a:noFill/>
                          <a:ln w="9525">
                            <a:noFill/>
                            <a:miter lim="800000"/>
                            <a:headEnd/>
                            <a:tailEnd/>
                          </a:ln>
                        </pic:spPr>
                      </pic:pic>
                    </a:graphicData>
                  </a:graphic>
                </wp:anchor>
              </w:drawing>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br/>
              <w:t>(E(</w:t>
            </w:r>
            <w:proofErr w:type="spellStart"/>
            <w:r w:rsidRPr="00001801">
              <w:rPr>
                <w:rFonts w:ascii="Times New Roman" w:eastAsia="Times New Roman" w:hAnsi="Times New Roman" w:cs="B Nazanin"/>
                <w:sz w:val="24"/>
                <w:szCs w:val="24"/>
              </w:rPr>
              <w:t>vy</w:t>
            </w:r>
            <w:proofErr w:type="spellEnd"/>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ارزش مورد انتظار سرمایه نیروی انسانی شخصی که</w:t>
            </w:r>
            <w:r w:rsidRPr="00001801">
              <w:rPr>
                <w:rFonts w:ascii="Times New Roman" w:eastAsia="Times New Roman" w:hAnsi="Times New Roman" w:cs="B Nazanin"/>
                <w:sz w:val="24"/>
                <w:szCs w:val="24"/>
              </w:rPr>
              <w:t xml:space="preserve"> y </w:t>
            </w:r>
            <w:r w:rsidRPr="00001801">
              <w:rPr>
                <w:rFonts w:ascii="Times New Roman" w:eastAsia="Times New Roman" w:hAnsi="Times New Roman" w:cs="B Nazanin"/>
                <w:sz w:val="24"/>
                <w:szCs w:val="24"/>
                <w:rtl/>
              </w:rPr>
              <w:t>سال سن دارد،</w:t>
            </w:r>
            <w:r w:rsidRPr="00001801">
              <w:rPr>
                <w:rFonts w:ascii="Times New Roman" w:eastAsia="Times New Roman" w:hAnsi="Times New Roman" w:cs="B Nazanin"/>
                <w:sz w:val="24"/>
                <w:szCs w:val="24"/>
              </w:rPr>
              <w:br/>
              <w:t xml:space="preserve">T: </w:t>
            </w:r>
            <w:r w:rsidRPr="00001801">
              <w:rPr>
                <w:rFonts w:ascii="Times New Roman" w:eastAsia="Times New Roman" w:hAnsi="Times New Roman" w:cs="B Nazanin"/>
                <w:sz w:val="24"/>
                <w:szCs w:val="24"/>
                <w:rtl/>
              </w:rPr>
              <w:t>سن بازنشستگی افراد،</w:t>
            </w:r>
            <w:r w:rsidRPr="00001801">
              <w:rPr>
                <w:rFonts w:ascii="Times New Roman" w:eastAsia="Times New Roman" w:hAnsi="Times New Roman" w:cs="B Nazanin"/>
                <w:sz w:val="24"/>
                <w:szCs w:val="24"/>
              </w:rPr>
              <w:br/>
              <w:t xml:space="preserve">R: </w:t>
            </w:r>
            <w:r w:rsidRPr="00001801">
              <w:rPr>
                <w:rFonts w:ascii="Times New Roman" w:eastAsia="Times New Roman" w:hAnsi="Times New Roman" w:cs="B Nazanin"/>
                <w:sz w:val="24"/>
                <w:szCs w:val="24"/>
                <w:rtl/>
              </w:rPr>
              <w:t>نرخ تنزیل،</w:t>
            </w:r>
            <w:r w:rsidRPr="00001801">
              <w:rPr>
                <w:rFonts w:ascii="Times New Roman" w:eastAsia="Times New Roman" w:hAnsi="Times New Roman" w:cs="B Nazanin"/>
                <w:sz w:val="24"/>
                <w:szCs w:val="24"/>
              </w:rPr>
              <w:br/>
              <w:t>(</w:t>
            </w:r>
            <w:proofErr w:type="spellStart"/>
            <w:r w:rsidRPr="00001801">
              <w:rPr>
                <w:rFonts w:ascii="Times New Roman" w:eastAsia="Times New Roman" w:hAnsi="Times New Roman" w:cs="B Nazanin"/>
                <w:sz w:val="24"/>
                <w:szCs w:val="24"/>
              </w:rPr>
              <w:t>Py</w:t>
            </w:r>
            <w:proofErr w:type="spellEnd"/>
            <w:r w:rsidRPr="00001801">
              <w:rPr>
                <w:rFonts w:ascii="Times New Roman" w:eastAsia="Times New Roman" w:hAnsi="Times New Roman" w:cs="B Nazanin"/>
                <w:sz w:val="24"/>
                <w:szCs w:val="24"/>
              </w:rPr>
              <w:t xml:space="preserve">(t: </w:t>
            </w:r>
            <w:r w:rsidRPr="00001801">
              <w:rPr>
                <w:rFonts w:ascii="Times New Roman" w:eastAsia="Times New Roman" w:hAnsi="Times New Roman" w:cs="B Nazanin"/>
                <w:sz w:val="24"/>
                <w:szCs w:val="24"/>
                <w:rtl/>
              </w:rPr>
              <w:t>توان سودآوری شخص در هنگام کناره‌گیری از کار،</w:t>
            </w:r>
            <w:r w:rsidRPr="00001801">
              <w:rPr>
                <w:rFonts w:ascii="Times New Roman" w:eastAsia="Times New Roman" w:hAnsi="Times New Roman" w:cs="B Nazanin"/>
                <w:sz w:val="24"/>
                <w:szCs w:val="24"/>
              </w:rPr>
              <w:br/>
              <w:t xml:space="preserve">(I(t: </w:t>
            </w:r>
            <w:r w:rsidRPr="00001801">
              <w:rPr>
                <w:rFonts w:ascii="Times New Roman" w:eastAsia="Times New Roman" w:hAnsi="Times New Roman" w:cs="B Nazanin"/>
                <w:sz w:val="24"/>
                <w:szCs w:val="24"/>
                <w:rtl/>
              </w:rPr>
              <w:t>درامدهای مورد انتظار از شخص در دورۀ</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i</w:t>
            </w:r>
            <w:proofErr w:type="spellEnd"/>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مزایا و محدودیتهای مدل لیو و اسچوارتز از جمله مهمترین مزایای مدل لیو و اسچوارتز، مواردی به‌شرح زیر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1-</w:t>
            </w:r>
            <w:r w:rsidRPr="00001801">
              <w:rPr>
                <w:rFonts w:ascii="Times New Roman" w:eastAsia="Times New Roman" w:hAnsi="Times New Roman" w:cs="B Nazanin"/>
                <w:sz w:val="24"/>
                <w:szCs w:val="24"/>
                <w:rtl/>
              </w:rPr>
              <w:t>در این مدل، خالص ارزش فعلی تمامی حقوق و دستمزدهای کارکنان بعد از کسر مبالغ سرمایه‌گذاری شده در آنها، به‌عنوان ارزش منابع انسانی در نظر گرفته‌می‌شود؛ لذا تاحدودی ارزش واقعی منابع انسانی را به‌دست می‌دهد،</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این مدل هماهنگی بیشتری با استانداردهای حسابداری دارد، و</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از آنجا که در این مدل برای محاسبه ارزش منابع انسانی از ارزش فعلی کلیه حقوق و دستمزدهای آنها استفاده می‌شود، اطلاعات این مدل اتکاپذیری بیشتری نسبت به دیگر مدلهای ارزیابی منابع انسانی دارد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مدل لیو و اسچوارتز نیز مانند هر مدل دیگری، محدودیت‌هایی دارد که عمده‌ترین آنها به شرح زیر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این مدل برای چگونگی ثبت ارزش منابع انسانی در دفاتر، روشی ارائه نمی‌دهد،</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این مدل، ارزش فعلی حقوق و دستمزدهای کارکنان را مبنای محاسبه ارزش منابع انسانی قرار می‌دهد، ولی باید به این نکته توجه داشت که ارزش منابع انسانی یک شرکت فقط محدود به بزرگی هزینه تحمل‌شده برای آنها نیست،</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این مدل، احتمال اینکه افراد شغل خود را تغییر دهند، در نظر نمی‌گیرد،</w:t>
            </w:r>
            <w:r w:rsidRPr="00001801">
              <w:rPr>
                <w:rFonts w:ascii="Times New Roman" w:eastAsia="Times New Roman" w:hAnsi="Times New Roman" w:cs="B Nazanin"/>
                <w:sz w:val="24"/>
                <w:szCs w:val="24"/>
              </w:rPr>
              <w:br/>
              <w:t xml:space="preserve">4- </w:t>
            </w:r>
            <w:r w:rsidRPr="00001801">
              <w:rPr>
                <w:rFonts w:ascii="Times New Roman" w:eastAsia="Times New Roman" w:hAnsi="Times New Roman" w:cs="B Nazanin"/>
                <w:sz w:val="24"/>
                <w:szCs w:val="24"/>
                <w:rtl/>
              </w:rPr>
              <w:t xml:space="preserve">این مدل امکان و احتمال اینکه افراد سازمان را به علتی غیر از فوت یا بازنشستگی ترک کنند، در نظر نمی‌گیرد، </w:t>
            </w:r>
            <w:r w:rsidRPr="00001801">
              <w:rPr>
                <w:rFonts w:ascii="Times New Roman" w:eastAsia="Times New Roman" w:hAnsi="Times New Roman" w:cs="B Nazanin"/>
                <w:sz w:val="24"/>
                <w:szCs w:val="24"/>
              </w:rPr>
              <w:br/>
              <w:t xml:space="preserve">5- </w:t>
            </w:r>
            <w:r w:rsidRPr="00001801">
              <w:rPr>
                <w:rFonts w:ascii="Times New Roman" w:eastAsia="Times New Roman" w:hAnsi="Times New Roman" w:cs="B Nazanin"/>
                <w:sz w:val="24"/>
                <w:szCs w:val="24"/>
                <w:rtl/>
              </w:rPr>
              <w:t xml:space="preserve">در این مدل ارزش یک فرد در سازمان فقط با مهارتها و تخصصی که مربوط به اوست تعیین می‌شود، در حالی که نقش سازمانی که از شخص استفاده می‌کند نیز باید مورد توجه قرار گیرد. دانش و مهارت افراد زمانی ارزشمند است که خدمات مورد </w:t>
            </w:r>
            <w:r w:rsidRPr="00001801">
              <w:rPr>
                <w:rFonts w:ascii="Times New Roman" w:eastAsia="Times New Roman" w:hAnsi="Times New Roman" w:cs="B Nazanin"/>
                <w:sz w:val="24"/>
                <w:szCs w:val="24"/>
                <w:rtl/>
              </w:rPr>
              <w:lastRenderedPageBreak/>
              <w:t>انتظار آنها نیازهای سازمان را برطرف کند،</w:t>
            </w:r>
            <w:r w:rsidRPr="00001801">
              <w:rPr>
                <w:rFonts w:ascii="Times New Roman" w:eastAsia="Times New Roman" w:hAnsi="Times New Roman" w:cs="B Nazanin"/>
                <w:sz w:val="24"/>
                <w:szCs w:val="24"/>
              </w:rPr>
              <w:br/>
              <w:t xml:space="preserve">6- </w:t>
            </w:r>
            <w:r w:rsidRPr="00001801">
              <w:rPr>
                <w:rFonts w:ascii="Times New Roman" w:eastAsia="Times New Roman" w:hAnsi="Times New Roman" w:cs="B Nazanin"/>
                <w:sz w:val="24"/>
                <w:szCs w:val="24"/>
                <w:rtl/>
              </w:rPr>
              <w:t>این مدل تاثیر نگرش و روحیه کارکنان در انجام درست وظایف را در نظر نمی‌گیرد، و</w:t>
            </w:r>
            <w:r w:rsidRPr="00001801">
              <w:rPr>
                <w:rFonts w:ascii="Times New Roman" w:eastAsia="Times New Roman" w:hAnsi="Times New Roman" w:cs="B Nazanin"/>
                <w:sz w:val="24"/>
                <w:szCs w:val="24"/>
              </w:rPr>
              <w:br/>
              <w:t xml:space="preserve">7- </w:t>
            </w:r>
            <w:r w:rsidRPr="00001801">
              <w:rPr>
                <w:rFonts w:ascii="Times New Roman" w:eastAsia="Times New Roman" w:hAnsi="Times New Roman" w:cs="B Nazanin"/>
                <w:sz w:val="24"/>
                <w:szCs w:val="24"/>
                <w:rtl/>
              </w:rPr>
              <w:t>در محاسبه این مدل، حقوق و دستمزد زمان بازنشستگی افراد در نظر گرفته نمی‌شود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Tiwari</w:t>
            </w:r>
            <w:proofErr w:type="spellEnd"/>
            <w:r w:rsidRPr="00001801">
              <w:rPr>
                <w:rFonts w:ascii="Times New Roman" w:eastAsia="Times New Roman" w:hAnsi="Times New Roman" w:cs="B Nazanin"/>
                <w:sz w:val="24"/>
                <w:szCs w:val="24"/>
              </w:rPr>
              <w:t xml:space="preserve"> &amp; </w:t>
            </w:r>
            <w:proofErr w:type="spellStart"/>
            <w:r w:rsidRPr="00001801">
              <w:rPr>
                <w:rFonts w:ascii="Times New Roman" w:eastAsia="Times New Roman" w:hAnsi="Times New Roman" w:cs="B Nazanin"/>
                <w:sz w:val="24"/>
                <w:szCs w:val="24"/>
              </w:rPr>
              <w:t>Kodwani</w:t>
            </w:r>
            <w:proofErr w:type="spellEnd"/>
            <w:r w:rsidRPr="00001801">
              <w:rPr>
                <w:rFonts w:ascii="Times New Roman" w:eastAsia="Times New Roman" w:hAnsi="Times New Roman" w:cs="B Nazanin"/>
                <w:sz w:val="24"/>
                <w:szCs w:val="24"/>
              </w:rPr>
              <w:t>, 2007).</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مشکلات ارزیابی منابع انسانی</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در فرایند ارزیابی منابع انسانی، استفاده‌کنندگان اطلاعات مالی اغلب با مشکل درک نشدن صحیح روشهای ارزیابی منابع انسانی مواجه هستند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پژوهشهای گذشته ثابت کرده‌است که محققان قادر به ارائه مدلی عاری از محدودیتهای ذاتی برای شناسایی نیروی انسانی سازمانها به‌عنوان دارایی، نیستند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محدودیت اصلی بیشتر مدلهای ارائه‌شده برای ارزشیابی منابع انسانی به‌عنوان دارایی، این بوده است که محققان قادر به شناسایی تاثیر محیط بر رشد و نبوغ کارکنان نیستند. از طرف دیگر، انسان موجودی با ماهیّت متغیر است و کارایی او با توجه به شرایط محیطی، متفاوت خواهد بود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بنابراین، بیان ارزش آن براساس یک کمیت فیزیکی پایدار، بسیار مشکل است</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اگرچه نیروی انسانی نقش مهمی را در هر سازمانی ایفا می‌کند، لیکن شناسایی و ارزشیابی منابع انسانی به‌عنوان دارایی به‌طور گسترده‌ای مورد مخالفت واقع شده است؛ زیرا طبق اصول حسابداری مربوط به گزارش دارایی‌ها، واحد تجاری باید به‌طور قانونی حق استفاده از آنها را در جهت تولید کالا و خدمات داشته باشند، تحت تملک واحد تجاری باشد و انتظار کسب منافع آینده از محل آنها وجود داشته باشد. هر چند منابع انسانی بخشی از این معیارها را احراز می‌کنند، ولی هنوز راهکاری وجود ندارد که بتوان براساس آن منابع انسانی را داراییهای شرکت نامید؛ زیرا شرکتها مالک واقعی نیروی انسانی نیستند و همه کارکنان می‌توانند به اختیار خود در یک زمان مشخص و بدون اجازۀ مدیران، از شرکت خارج شوند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هیچ شرکتی نمی‌تواند بدون توجه به خواسته کارکنانش آنها را در جهت منافع خود به‌کار گیرد. در واقع، سازمانها برای استفاده از نیروی کار خود مانند استفاده از دیگر داراییهای فیزیکی آزادی عمل ندارند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Theeke</w:t>
            </w:r>
            <w:proofErr w:type="spellEnd"/>
            <w:r w:rsidRPr="00001801">
              <w:rPr>
                <w:rFonts w:ascii="Times New Roman" w:eastAsia="Times New Roman" w:hAnsi="Times New Roman" w:cs="B Nazanin"/>
                <w:sz w:val="24"/>
                <w:szCs w:val="24"/>
              </w:rPr>
              <w:t xml:space="preserve"> et al., 2008).</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 xml:space="preserve">مدل پیشنهادی </w:t>
            </w:r>
            <w:r w:rsidRPr="00001801">
              <w:rPr>
                <w:rFonts w:ascii="Times New Roman" w:eastAsia="Times New Roman" w:hAnsi="Times New Roman" w:cs="B Nazanin"/>
                <w:b/>
                <w:bCs/>
                <w:color w:val="0B4CA6"/>
                <w:sz w:val="24"/>
                <w:szCs w:val="24"/>
              </w:rPr>
              <w:t>(</w:t>
            </w:r>
            <w:r w:rsidRPr="00001801">
              <w:rPr>
                <w:rFonts w:ascii="Times New Roman" w:eastAsia="Times New Roman" w:hAnsi="Times New Roman" w:cs="B Nazanin"/>
                <w:b/>
                <w:bCs/>
                <w:color w:val="0B4CA6"/>
                <w:sz w:val="24"/>
                <w:szCs w:val="24"/>
                <w:rtl/>
              </w:rPr>
              <w:t>ارزیابی منابع انسانی</w:t>
            </w:r>
            <w:r w:rsidRPr="00001801">
              <w:rPr>
                <w:rFonts w:ascii="Times New Roman" w:eastAsia="Times New Roman" w:hAnsi="Times New Roman" w:cs="B Nazanin"/>
                <w:b/>
                <w:bCs/>
                <w:color w:val="0B4CA6"/>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بر طبق مدل لیو و اسچوارتز، ارزش منابع انسانی یک شرکت در طول زمان بدون توجه به سوداوری واحدتجاری، همواره در حال افزایش خواهد بود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همچنین، نگرش و روحیه کارکنان، حقوق بازنشستگی آنان و دیگر عواملی از این قبیل، در مدل لیو و اسچوارتز برای ارزشیابی منابع انسانی مد نظر قرار نگرفته است. با این حال، می‌توان به صراحت اعلام کرد که اولاً، تنها زمانی ارزش منابع انسانی یک شرکت افزایش خواهد یافت که این منابع بتوانند فرایند سوداوری شرکت را بهبود بخشند، نه اینکه باعث زیاندهی آن شوند؛ ثانیأ، در محاسبه ارزش منابع انسانی باید حقوق مورد انتظار دوران بازنشستگی کارکنان را نیز مد نظر قرار داد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موارد مـذکـور از جملـه مهمتـرین محدودیتهایی است که رعایت نکردن آنها در بسیاری از موارد موجب ارزشیابی نادرست بهای تمام‌شده کارکنان می‌گردد. بنابراین، سعی شده است این موارد در ارائه مدل جدید لحاظ گردند. با در نظرگرفتن موارد مذکور، می‌توان مدل اصلاح شده‌ای به‌شرح زیر ارائه کرد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E(S)=S1 X P(S1)+S2 X (PS2)+...+</w:t>
            </w:r>
            <w:proofErr w:type="spellStart"/>
            <w:r w:rsidRPr="00001801">
              <w:rPr>
                <w:rFonts w:ascii="Times New Roman" w:eastAsia="Times New Roman" w:hAnsi="Times New Roman" w:cs="B Nazanin"/>
                <w:sz w:val="24"/>
                <w:szCs w:val="24"/>
              </w:rPr>
              <w:t>Sn</w:t>
            </w:r>
            <w:proofErr w:type="spellEnd"/>
            <w:r w:rsidRPr="00001801">
              <w:rPr>
                <w:rFonts w:ascii="Times New Roman" w:eastAsia="Times New Roman" w:hAnsi="Times New Roman" w:cs="B Nazanin"/>
                <w:sz w:val="24"/>
                <w:szCs w:val="24"/>
              </w:rPr>
              <w:t xml:space="preserve"> X (</w:t>
            </w:r>
            <w:proofErr w:type="spellStart"/>
            <w:r w:rsidRPr="00001801">
              <w:rPr>
                <w:rFonts w:ascii="Times New Roman" w:eastAsia="Times New Roman" w:hAnsi="Times New Roman" w:cs="B Nazanin"/>
                <w:sz w:val="24"/>
                <w:szCs w:val="24"/>
              </w:rPr>
              <w:t>PSn</w:t>
            </w:r>
            <w:proofErr w:type="spellEnd"/>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(E(s: </w:t>
            </w:r>
            <w:r w:rsidRPr="00001801">
              <w:rPr>
                <w:rFonts w:ascii="Times New Roman" w:eastAsia="Times New Roman" w:hAnsi="Times New Roman" w:cs="B Nazanin"/>
                <w:sz w:val="24"/>
                <w:szCs w:val="24"/>
                <w:rtl/>
              </w:rPr>
              <w:t>تمام کیفیت خدمات مورد انتظار از شخص</w:t>
            </w:r>
            <w:r w:rsidRPr="00001801">
              <w:rPr>
                <w:rFonts w:ascii="Times New Roman" w:eastAsia="Times New Roman" w:hAnsi="Times New Roman" w:cs="B Nazanin"/>
                <w:sz w:val="24"/>
                <w:szCs w:val="24"/>
              </w:rPr>
              <w:t xml:space="preserve"> E</w:t>
            </w:r>
            <w:r w:rsidRPr="00001801">
              <w:rPr>
                <w:rFonts w:ascii="Times New Roman" w:eastAsia="Times New Roman" w:hAnsi="Times New Roman" w:cs="B Nazanin"/>
                <w:sz w:val="24"/>
                <w:szCs w:val="24"/>
                <w:rtl/>
              </w:rPr>
              <w:t>،</w:t>
            </w:r>
            <w:r w:rsidRPr="00001801">
              <w:rPr>
                <w:rFonts w:ascii="Times New Roman" w:eastAsia="Times New Roman" w:hAnsi="Times New Roman" w:cs="B Nazanin"/>
                <w:sz w:val="24"/>
                <w:szCs w:val="24"/>
              </w:rPr>
              <w:br/>
              <w:t>Si:</w:t>
            </w:r>
            <w:r w:rsidRPr="00001801">
              <w:rPr>
                <w:rFonts w:ascii="Times New Roman" w:eastAsia="Times New Roman" w:hAnsi="Times New Roman" w:cs="B Nazanin"/>
                <w:sz w:val="24"/>
                <w:szCs w:val="24"/>
                <w:rtl/>
              </w:rPr>
              <w:t>کیفیت خدمات،</w:t>
            </w:r>
            <w:r w:rsidRPr="00001801">
              <w:rPr>
                <w:rFonts w:ascii="Times New Roman" w:eastAsia="Times New Roman" w:hAnsi="Times New Roman" w:cs="B Nazanin"/>
                <w:sz w:val="24"/>
                <w:szCs w:val="24"/>
              </w:rPr>
              <w:br/>
              <w:t xml:space="preserve">(Si(p: </w:t>
            </w:r>
            <w:r w:rsidRPr="00001801">
              <w:rPr>
                <w:rFonts w:ascii="Times New Roman" w:eastAsia="Times New Roman" w:hAnsi="Times New Roman" w:cs="B Nazanin"/>
                <w:sz w:val="24"/>
                <w:szCs w:val="24"/>
                <w:rtl/>
              </w:rPr>
              <w:t>قابلیت سوددهی رخداد</w:t>
            </w:r>
            <w:r w:rsidRPr="00001801">
              <w:rPr>
                <w:rFonts w:ascii="Times New Roman" w:eastAsia="Times New Roman" w:hAnsi="Times New Roman" w:cs="B Nazanin"/>
                <w:sz w:val="24"/>
                <w:szCs w:val="24"/>
              </w:rPr>
              <w:t xml:space="preserve"> Si.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معادله فوق را می‌توان از طریق گنجاندن عامل تنزیل جهت دستیابی به ارزش فعلی به شکل زیر ارائه کرد</w:t>
            </w:r>
            <w:r w:rsidRPr="00001801">
              <w:rPr>
                <w:rFonts w:ascii="Times New Roman" w:eastAsia="Times New Roman" w:hAnsi="Times New Roman" w:cs="B Nazanin"/>
                <w:sz w:val="24"/>
                <w:szCs w:val="24"/>
              </w:rPr>
              <w:t>:</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400050"/>
                  <wp:effectExtent l="19050" t="0" r="0" b="0"/>
                  <wp:wrapSquare wrapText="bothSides"/>
                  <wp:docPr id="14" name="Picture 10" descr="http://hesabras.org/Portals/_Rainbow/images/default/article/arzyab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esabras.org/Portals/_Rainbow/images/default/article/arzyabi_2.jpg"/>
                          <pic:cNvPicPr>
                            <a:picLocks noChangeAspect="1" noChangeArrowheads="1"/>
                          </pic:cNvPicPr>
                        </pic:nvPicPr>
                        <pic:blipFill>
                          <a:blip r:embed="rId7"/>
                          <a:srcRect/>
                          <a:stretch>
                            <a:fillRect/>
                          </a:stretch>
                        </pic:blipFill>
                        <pic:spPr bwMode="auto">
                          <a:xfrm>
                            <a:off x="0" y="0"/>
                            <a:ext cx="1428750" cy="400050"/>
                          </a:xfrm>
                          <a:prstGeom prst="rect">
                            <a:avLst/>
                          </a:prstGeom>
                          <a:noFill/>
                          <a:ln w="9525">
                            <a:noFill/>
                            <a:miter lim="800000"/>
                            <a:headEnd/>
                            <a:tailEnd/>
                          </a:ln>
                        </pic:spPr>
                      </pic:pic>
                    </a:graphicData>
                  </a:graphic>
                </wp:anchor>
              </w:drawing>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proofErr w:type="spellStart"/>
            <w:r w:rsidRPr="00001801">
              <w:rPr>
                <w:rFonts w:ascii="Times New Roman" w:eastAsia="Times New Roman" w:hAnsi="Times New Roman" w:cs="B Nazanin"/>
                <w:sz w:val="24"/>
                <w:szCs w:val="24"/>
              </w:rPr>
              <w:t>Ri</w:t>
            </w:r>
            <w:proofErr w:type="spellEnd"/>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ارزش خدمات،</w:t>
            </w:r>
            <w:r w:rsidRPr="00001801">
              <w:rPr>
                <w:rFonts w:ascii="Times New Roman" w:eastAsia="Times New Roman" w:hAnsi="Times New Roman" w:cs="B Nazanin"/>
                <w:sz w:val="24"/>
                <w:szCs w:val="24"/>
              </w:rPr>
              <w:br/>
              <w:t xml:space="preserve">P: </w:t>
            </w:r>
            <w:r w:rsidRPr="00001801">
              <w:rPr>
                <w:rFonts w:ascii="Times New Roman" w:eastAsia="Times New Roman" w:hAnsi="Times New Roman" w:cs="B Nazanin"/>
                <w:sz w:val="24"/>
                <w:szCs w:val="24"/>
                <w:rtl/>
              </w:rPr>
              <w:t>قابلیت سوددهی ازحفظ خدمات</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i</w:t>
            </w:r>
            <w:proofErr w:type="spellEnd"/>
            <w:r w:rsidRPr="00001801">
              <w:rPr>
                <w:rFonts w:ascii="Times New Roman" w:eastAsia="Times New Roman" w:hAnsi="Times New Roman" w:cs="B Nazanin"/>
                <w:sz w:val="24"/>
                <w:szCs w:val="24"/>
                <w:rtl/>
              </w:rPr>
              <w:t>،</w:t>
            </w:r>
            <w:r w:rsidRPr="00001801">
              <w:rPr>
                <w:rFonts w:ascii="Times New Roman" w:eastAsia="Times New Roman" w:hAnsi="Times New Roman" w:cs="B Nazanin"/>
                <w:sz w:val="24"/>
                <w:szCs w:val="24"/>
              </w:rPr>
              <w:br/>
              <w:t xml:space="preserve">T: </w:t>
            </w:r>
            <w:r w:rsidRPr="00001801">
              <w:rPr>
                <w:rFonts w:ascii="Times New Roman" w:eastAsia="Times New Roman" w:hAnsi="Times New Roman" w:cs="B Nazanin"/>
                <w:sz w:val="24"/>
                <w:szCs w:val="24"/>
                <w:rtl/>
              </w:rPr>
              <w:t>مدّت زمان انتفاع‌رسانی کارکنان،</w:t>
            </w:r>
            <w:r w:rsidRPr="00001801">
              <w:rPr>
                <w:rFonts w:ascii="Times New Roman" w:eastAsia="Times New Roman" w:hAnsi="Times New Roman" w:cs="B Nazanin"/>
                <w:sz w:val="24"/>
                <w:szCs w:val="24"/>
              </w:rPr>
              <w:br/>
              <w:t xml:space="preserve">N: </w:t>
            </w:r>
            <w:r w:rsidRPr="00001801">
              <w:rPr>
                <w:rFonts w:ascii="Times New Roman" w:eastAsia="Times New Roman" w:hAnsi="Times New Roman" w:cs="B Nazanin"/>
                <w:sz w:val="24"/>
                <w:szCs w:val="24"/>
                <w:rtl/>
              </w:rPr>
              <w:t xml:space="preserve">تعداد دوره‌های انتفاع‌رسانی کارمند، </w:t>
            </w:r>
            <w:r w:rsidRPr="00001801">
              <w:rPr>
                <w:rFonts w:ascii="Times New Roman" w:eastAsia="Times New Roman" w:hAnsi="Times New Roman" w:cs="B Nazanin"/>
                <w:sz w:val="24"/>
                <w:szCs w:val="24"/>
              </w:rPr>
              <w:br/>
              <w:t xml:space="preserve">V: </w:t>
            </w:r>
            <w:r w:rsidRPr="00001801">
              <w:rPr>
                <w:rFonts w:ascii="Times New Roman" w:eastAsia="Times New Roman" w:hAnsi="Times New Roman" w:cs="B Nazanin"/>
                <w:sz w:val="24"/>
                <w:szCs w:val="24"/>
                <w:rtl/>
              </w:rPr>
              <w:t>نرخ تنزیل،</w:t>
            </w:r>
            <w:r w:rsidRPr="00001801">
              <w:rPr>
                <w:rFonts w:ascii="Times New Roman" w:eastAsia="Times New Roman" w:hAnsi="Times New Roman" w:cs="B Nazanin"/>
                <w:sz w:val="24"/>
                <w:szCs w:val="24"/>
              </w:rPr>
              <w:br/>
              <w:t xml:space="preserve">S: </w:t>
            </w:r>
            <w:r w:rsidRPr="00001801">
              <w:rPr>
                <w:rFonts w:ascii="Times New Roman" w:eastAsia="Times New Roman" w:hAnsi="Times New Roman" w:cs="B Nazanin"/>
                <w:sz w:val="24"/>
                <w:szCs w:val="24"/>
                <w:rtl/>
              </w:rPr>
              <w:t>ارزش یک کارمند در زمان خروج وی از شرکت</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یک فرد ممکن است در نتیجه فوت، ترک سازمان و یا بازخرید، در سالهای آینده سازمان را ترک کند؛ در حالی که هم‌اکنون کارمند سازمان است. در اینجا</w:t>
            </w:r>
            <w:r w:rsidRPr="00001801">
              <w:rPr>
                <w:rFonts w:ascii="Times New Roman" w:eastAsia="Times New Roman" w:hAnsi="Times New Roman" w:cs="B Nazanin"/>
                <w:sz w:val="24"/>
                <w:szCs w:val="24"/>
              </w:rPr>
              <w:t xml:space="preserve"> S </w:t>
            </w:r>
            <w:r w:rsidRPr="00001801">
              <w:rPr>
                <w:rFonts w:ascii="Times New Roman" w:eastAsia="Times New Roman" w:hAnsi="Times New Roman" w:cs="B Nazanin"/>
                <w:sz w:val="24"/>
                <w:szCs w:val="24"/>
                <w:rtl/>
              </w:rPr>
              <w:t xml:space="preserve">نشاندهندۀ ارزش مورد انتظار فرد در زمان خروج وی از شرکت است </w:t>
            </w:r>
            <w:r w:rsidRPr="00001801">
              <w:rPr>
                <w:rFonts w:ascii="Times New Roman" w:eastAsia="Times New Roman" w:hAnsi="Times New Roman" w:cs="B Nazanin"/>
                <w:sz w:val="24"/>
                <w:szCs w:val="24"/>
              </w:rPr>
              <w:t>(</w:t>
            </w:r>
            <w:proofErr w:type="spellStart"/>
            <w:r w:rsidRPr="00001801">
              <w:rPr>
                <w:rFonts w:ascii="Times New Roman" w:eastAsia="Times New Roman" w:hAnsi="Times New Roman" w:cs="B Nazanin"/>
                <w:sz w:val="24"/>
                <w:szCs w:val="24"/>
              </w:rPr>
              <w:t>Batra</w:t>
            </w:r>
            <w:proofErr w:type="spellEnd"/>
            <w:r w:rsidRPr="00001801">
              <w:rPr>
                <w:rFonts w:ascii="Times New Roman" w:eastAsia="Times New Roman" w:hAnsi="Times New Roman" w:cs="B Nazanin"/>
                <w:sz w:val="24"/>
                <w:szCs w:val="24"/>
              </w:rPr>
              <w:t>, 1996).</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 xml:space="preserve">مدل پیشنهادی </w:t>
            </w:r>
            <w:r w:rsidRPr="00001801">
              <w:rPr>
                <w:rFonts w:ascii="Times New Roman" w:eastAsia="Times New Roman" w:hAnsi="Times New Roman" w:cs="B Nazanin"/>
                <w:b/>
                <w:bCs/>
                <w:color w:val="0B4CA6"/>
                <w:sz w:val="24"/>
                <w:szCs w:val="24"/>
              </w:rPr>
              <w:t>(</w:t>
            </w:r>
            <w:r w:rsidRPr="00001801">
              <w:rPr>
                <w:rFonts w:ascii="Times New Roman" w:eastAsia="Times New Roman" w:hAnsi="Times New Roman" w:cs="B Nazanin"/>
                <w:b/>
                <w:bCs/>
                <w:color w:val="0B4CA6"/>
                <w:sz w:val="24"/>
                <w:szCs w:val="24"/>
                <w:rtl/>
              </w:rPr>
              <w:t>سیستم حسابداری منابع انسانی</w:t>
            </w:r>
            <w:r w:rsidRPr="00001801">
              <w:rPr>
                <w:rFonts w:ascii="Times New Roman" w:eastAsia="Times New Roman" w:hAnsi="Times New Roman" w:cs="B Nazanin"/>
                <w:b/>
                <w:bCs/>
                <w:color w:val="0B4CA6"/>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دومین مرحله در گزارشگری منابع انسانی، تهیه سیستمی جامع برای ثبت عملیات حسابداری مربوط به استخدام، آموزش و ارزیابی منابع انسانی سازمان است.اکنون برای ثبت مبلغ و گردش منابع انسانی در سیستم حسابداری، یک مدل اولیه پیشنهاد می‌شود که هدف اولیه آن، گزارش منابع انسانی سازمان به‌عنوان دارایی در متن صورتهای مالی و یا در یادداشتهای توضیحی است. قبل از ثبت ارزش منابع انسانی در دفترها، ابتدا باید کارکنان شرکت را به دو گروه کارکنان عادی و کلیدی تقسیم کرد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کارکنان کلیدی شرکت: اشخاصی هستند که علاوه بر همکاری در جهت کسب منافع عادی و معمولی شرکت، با استفاده از ذوق و استعداد خود بتوانند درامد فوق‌العاده‌ای مازاد بر درامد عادی نصیب شرکت کنند بنابراین، گاهی اوقات توافق می‌شود که به چنین کارکنانی درصدی از درامد فروش یا سود خالص علاوه بر حقوق عادی پرداخت 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کارکنان عادی شرکت: اشخاصی هستند که کارهای محول‌شده را به‌شکل منظم و یکنواخت انجام می‌دهند ولی نقشی در انجام تحقیقات اضافی در جهت شناسایی روشهای بهبود عملکرد و سوداوری شرکت ندارند. نحوۀ ارزیابی منابع انسانی برای هر دو گروه، شامل مراحل زیر است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محاسبه هزینه‌های واقعی پرداخت‌شده مربوط به استخدام، آموزش و پیشرفت کارکنان،</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 xml:space="preserve">محاسبه ارزش فعلی پرداختهای آینده حقوق و دستمزد کارکنان، و </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ارزیابی عملکرد (کارایی</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ارزش کل منابع انسانی</w:t>
            </w:r>
            <w:r w:rsidRPr="00001801">
              <w:rPr>
                <w:rFonts w:ascii="Times New Roman" w:eastAsia="Times New Roman" w:hAnsi="Times New Roman" w:cs="B Nazanin"/>
                <w:sz w:val="24"/>
                <w:szCs w:val="24"/>
              </w:rPr>
              <w:t xml:space="preserve"> = A + B + C</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ارزیابی عملکرد</w:t>
            </w:r>
            <w:r w:rsidRPr="00001801">
              <w:rPr>
                <w:rFonts w:ascii="Times New Roman" w:eastAsia="Times New Roman" w:hAnsi="Times New Roman" w:cs="B Nazanin"/>
                <w:sz w:val="24"/>
                <w:szCs w:val="24"/>
              </w:rPr>
              <w:t>= A</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ارزش فعلی پرداختیهای آینده حقوق و</w:t>
            </w:r>
            <w:r w:rsidRPr="00001801">
              <w:rPr>
                <w:rFonts w:ascii="Times New Roman" w:eastAsia="Times New Roman" w:hAnsi="Times New Roman" w:cs="B Nazanin"/>
                <w:sz w:val="24"/>
                <w:szCs w:val="24"/>
              </w:rPr>
              <w:t xml:space="preserve"> = B</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دستمزد کارکنان</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هزینه‌های واقعی پرداخت‌شده</w:t>
            </w:r>
            <w:r w:rsidRPr="00001801">
              <w:rPr>
                <w:rFonts w:ascii="Times New Roman" w:eastAsia="Times New Roman" w:hAnsi="Times New Roman" w:cs="B Nazanin"/>
                <w:sz w:val="24"/>
                <w:szCs w:val="24"/>
              </w:rPr>
              <w:t xml:space="preserve"> = C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لازم به ذکر است که سیستم پیشنهادی برای هر دو دسته از کارکنان کلیدی و عادی، تاحد زیادی مشابه می‌باشند و تفاوت اندک ارزیابی کارکنان کلیدی، بعد از بیان سیستم کلی ذکر می‌شود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 xml:space="preserve">هزینه‌های واقعی: همه هزینه‌های مربوط به استخدام، آموزش و به‌کارگیری کارمندان باید در هنگام پرداخت یا تحمل چنین </w:t>
            </w:r>
            <w:r w:rsidRPr="00001801">
              <w:rPr>
                <w:rFonts w:ascii="Times New Roman" w:eastAsia="Times New Roman" w:hAnsi="Times New Roman" w:cs="B Nazanin"/>
                <w:sz w:val="24"/>
                <w:szCs w:val="24"/>
                <w:rtl/>
              </w:rPr>
              <w:lastRenderedPageBreak/>
              <w:t>هزینه‌هایی با ثبت زیر سرمایه‌ای شوند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بانک/ حسابهای مختلف</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 به‌عنوان داراییهای غیرجاری محسوب می‌شود که باید در طول دورۀ استفادۀ مورد انتظار از خدمات کارکنان مستهلک‌شده و با ثبت زیر به حساب خلاصه سودوزیان منظور 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خلاصه حساب سود و زیان</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نکته: در هنگام مرگ یا ترک کارکنان، باید کل مبلغ سرمایه‌گذاری در منابع انسانی به‌طور یکجا به حساب خلاصه سودوزیان منتقل شود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محاسبه ارزش فعلی حقوق و دستمزد پرداخت شده به کارکنان: در این مرحله، باید منابع انسانی شرکت را ارزیابی کرد. یعنی وقتی که شرکت اقدام به استخدام کارکنان می‌کند و یا درصدد شروع به‌کارگیری حسابداری منابع انسانی است، باید ارزش فعلی کلیه پرداخت‌های حقوق و دستمزد کارکنان را در زمان شروع حسابداری منابع انسانی یا در ابتدای سال مالی به شیوۀ زیر ثبت کند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ذخیره منابع 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t>(</w:t>
            </w:r>
            <w:r w:rsidRPr="00001801">
              <w:rPr>
                <w:rFonts w:ascii="Times New Roman" w:eastAsia="Times New Roman" w:hAnsi="Times New Roman" w:cs="B Nazanin"/>
                <w:sz w:val="24"/>
                <w:szCs w:val="24"/>
                <w:rtl/>
              </w:rPr>
              <w:t>لازم به ذکر است که حساب ذخیره منابع انسانی مستهلک نمی‌شود بلکه در پایان هر سال تجدید ارزیابی می‌شود،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در هنگام پرداخت حقوق و دستمزد کارکنان باید ثبت زیر انجام 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هزينه حقوق</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بانک</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در پایان سال مالی نیز ارزش منابع انسانی باید محاسبه گردد و تفاوت سرمایه‌گذاری در منابع انسانی محاسبه‌شده در پایان سال و سرمایه‌گذاری در منابع انسانی ثبت‌شده در دفترها، به‌حساب ذخیره منابع انسانی بدهکار یا بستانکار شود. در مقابل، کل هزینه حقوق ثبت‌شده در هنگام پرداخت حقوق و دستمزد، بستانکار شده و تفاوت این دو به حساب خلاصه سودوزیان منتقل می‌شود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A = B - C</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ذخیره منابع انسانی</w:t>
            </w:r>
            <w:r w:rsidRPr="00001801">
              <w:rPr>
                <w:rFonts w:ascii="Times New Roman" w:eastAsia="Times New Roman" w:hAnsi="Times New Roman" w:cs="B Nazanin"/>
                <w:sz w:val="24"/>
                <w:szCs w:val="24"/>
              </w:rPr>
              <w:t xml:space="preserve"> = A</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ارزش منابع انسانی در پایان سال</w:t>
            </w:r>
            <w:r w:rsidRPr="00001801">
              <w:rPr>
                <w:rFonts w:ascii="Times New Roman" w:eastAsia="Times New Roman" w:hAnsi="Times New Roman" w:cs="B Nazanin"/>
                <w:sz w:val="24"/>
                <w:szCs w:val="24"/>
              </w:rPr>
              <w:t xml:space="preserve"> = B</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ارزش منابع انسانی در ابتدای سال</w:t>
            </w:r>
            <w:r w:rsidRPr="00001801">
              <w:rPr>
                <w:rFonts w:ascii="Times New Roman" w:eastAsia="Times New Roman" w:hAnsi="Times New Roman" w:cs="B Nazanin"/>
                <w:sz w:val="24"/>
                <w:szCs w:val="24"/>
              </w:rPr>
              <w:t xml:space="preserve"> = C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اگر </w:t>
            </w:r>
            <w:r w:rsidRPr="00001801">
              <w:rPr>
                <w:rFonts w:ascii="Times New Roman" w:eastAsia="Times New Roman" w:hAnsi="Times New Roman" w:cs="B Nazanin"/>
                <w:noProof/>
                <w:sz w:val="24"/>
                <w:szCs w:val="24"/>
              </w:rPr>
              <w:drawing>
                <wp:inline distT="0" distB="0" distL="0" distR="0">
                  <wp:extent cx="190500" cy="161925"/>
                  <wp:effectExtent l="19050" t="0" r="0" b="0"/>
                  <wp:docPr id="23" name="Picture 23"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Pr>
              <w:t xml:space="preserve">B &lt; C </w:t>
            </w:r>
            <w:r w:rsidRPr="00001801">
              <w:rPr>
                <w:rFonts w:ascii="Times New Roman" w:eastAsia="Times New Roman" w:hAnsi="Times New Roman" w:cs="B Nazanin"/>
                <w:noProof/>
                <w:sz w:val="24"/>
                <w:szCs w:val="24"/>
              </w:rPr>
              <w:drawing>
                <wp:inline distT="0" distB="0" distL="0" distR="0">
                  <wp:extent cx="190500" cy="161925"/>
                  <wp:effectExtent l="19050" t="0" r="0" b="0"/>
                  <wp:docPr id="24" name="Picture 24"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tl/>
              </w:rPr>
              <w:t>ذخیره بدهکارمی‌شود،</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اگر </w:t>
            </w:r>
            <w:r w:rsidRPr="00001801">
              <w:rPr>
                <w:rFonts w:ascii="Times New Roman" w:eastAsia="Times New Roman" w:hAnsi="Times New Roman" w:cs="B Nazanin"/>
                <w:noProof/>
                <w:sz w:val="24"/>
                <w:szCs w:val="24"/>
              </w:rPr>
              <w:drawing>
                <wp:inline distT="0" distB="0" distL="0" distR="0">
                  <wp:extent cx="190500" cy="161925"/>
                  <wp:effectExtent l="19050" t="0" r="0" b="0"/>
                  <wp:docPr id="25" name="Picture 25"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Pr>
              <w:t xml:space="preserve">B &gt; C </w:t>
            </w:r>
            <w:r w:rsidRPr="00001801">
              <w:rPr>
                <w:rFonts w:ascii="Times New Roman" w:eastAsia="Times New Roman" w:hAnsi="Times New Roman" w:cs="B Nazanin"/>
                <w:noProof/>
                <w:sz w:val="24"/>
                <w:szCs w:val="24"/>
              </w:rPr>
              <w:drawing>
                <wp:inline distT="0" distB="0" distL="0" distR="0">
                  <wp:extent cx="190500" cy="161925"/>
                  <wp:effectExtent l="19050" t="0" r="0" b="0"/>
                  <wp:docPr id="26" name="Picture 26"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tl/>
              </w:rPr>
              <w:t xml:space="preserve">ذخیره بستانکارمی‌شود،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اگر </w:t>
            </w:r>
            <w:r w:rsidRPr="00001801">
              <w:rPr>
                <w:rFonts w:ascii="Times New Roman" w:eastAsia="Times New Roman" w:hAnsi="Times New Roman" w:cs="B Nazanin"/>
                <w:noProof/>
                <w:sz w:val="24"/>
                <w:szCs w:val="24"/>
              </w:rPr>
              <w:drawing>
                <wp:inline distT="0" distB="0" distL="0" distR="0">
                  <wp:extent cx="190500" cy="161925"/>
                  <wp:effectExtent l="19050" t="0" r="0" b="0"/>
                  <wp:docPr id="27" name="Picture 27"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Pr>
              <w:t xml:space="preserve">B = C </w:t>
            </w:r>
            <w:r w:rsidRPr="00001801">
              <w:rPr>
                <w:rFonts w:ascii="Times New Roman" w:eastAsia="Times New Roman" w:hAnsi="Times New Roman" w:cs="B Nazanin"/>
                <w:noProof/>
                <w:sz w:val="24"/>
                <w:szCs w:val="24"/>
              </w:rPr>
              <w:drawing>
                <wp:inline distT="0" distB="0" distL="0" distR="0">
                  <wp:extent cx="190500" cy="161925"/>
                  <wp:effectExtent l="19050" t="0" r="0" b="0"/>
                  <wp:docPr id="28" name="Picture 28" descr="http://hesabras.org/Portals/_Rainbow/images/default/article/arzyab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esabras.org/Portals/_Rainbow/images/default/article/arzyabi_3.jpg"/>
                          <pic:cNvPicPr>
                            <a:picLocks noChangeAspect="1" noChangeArrowheads="1"/>
                          </pic:cNvPicPr>
                        </pic:nvPicPr>
                        <pic:blipFill>
                          <a:blip r:embed="rId8"/>
                          <a:srcRect/>
                          <a:stretch>
                            <a:fillRect/>
                          </a:stretch>
                        </pic:blipFill>
                        <pic:spPr bwMode="auto">
                          <a:xfrm>
                            <a:off x="0" y="0"/>
                            <a:ext cx="190500" cy="161925"/>
                          </a:xfrm>
                          <a:prstGeom prst="rect">
                            <a:avLst/>
                          </a:prstGeom>
                          <a:noFill/>
                          <a:ln w="9525">
                            <a:noFill/>
                            <a:miter lim="800000"/>
                            <a:headEnd/>
                            <a:tailEnd/>
                          </a:ln>
                        </pic:spPr>
                      </pic:pic>
                    </a:graphicData>
                  </a:graphic>
                </wp:inline>
              </w:drawing>
            </w:r>
            <w:r w:rsidRPr="00001801">
              <w:rPr>
                <w:rFonts w:ascii="Times New Roman" w:eastAsia="Times New Roman" w:hAnsi="Times New Roman" w:cs="B Nazanin"/>
                <w:sz w:val="24"/>
                <w:szCs w:val="24"/>
                <w:rtl/>
              </w:rPr>
              <w:t>ذخیره به‌وجود نمی‌آید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اکنون خواهیم داشت</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ذخیره منابع انسانی(معادل تفاوت منابع انسانی در ابتدا و پایان سال</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خلاصه سود و زیان (مابه‌التفاوت</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lastRenderedPageBreak/>
              <w:t>هزینه حقوق (کل مبلغ پرداختی</w:t>
            </w:r>
            <w:r w:rsidRPr="00001801">
              <w:rPr>
                <w:rFonts w:ascii="Times New Roman" w:eastAsia="Times New Roman" w:hAnsi="Times New Roman" w:cs="B Nazanin"/>
                <w:sz w:val="24"/>
                <w:szCs w:val="24"/>
              </w:rPr>
              <w:t>)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اکنون، مبلغ بدهکارشده در حساب سرمایه‌گذاری در منابع انسانی را باید طی سالهای مورد انتظار استفاده از خدمات کارکنان مستهلک کرده و با ثبت زیر به‌حساب خلاصه سودوزیان انتقال دهیم</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خلاصه سود و زیان</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لازم به ذکر است که حساب ذخیره منابع انسانی در طول زمان مستهلک نمی‌شود بلکه در پایان هر سال مورد تجدید ارزیابی قرار می‌گیرد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بخش ارزیابی عملکرد: چنانچه به کارکنان کلیدی مبلغی مازاد بر حقوق و دستمزد عادی پرداخت شود، باید مبلغ اضافی را از حساب خلاصه سودوزیان کسر و به‌حساب تنخواه سرمایه‌گذاری در منابع انسانی منتقل کرد. همچنین معادل مبلغ فوق را باید همزمان در بدهکار حساب سرمایه‌گذاری در منابع انسانی و بستانکار حساب تعدیل منابع انسانی ثبت کرد (لازم به یادآوری است این بخش فقط برای کارکنان کلیدی به‌کار گرفته می‌شود). حساب تعدیل منابع انسانی شبیه حساب ذخیره منابع انسانی است و نشاندهندۀ عملکرد فوق‌العادۀ کارکنان است، اما این بخش نباید مستهلک شود، بلکه با عملکرد خوب کارکنان همواره افزایش می‌یابد. حساب تنخواه منابع انسانی باید فقط برای هدفهای زیر به‌کار رود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آموزش کارکنان،</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حذف زیان غیرعادی ناشی از مرگ یا ترک کارکنان، و</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افزایش رفاه کارکنان برای ترغیب آنها</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پرداخت مبلغی مازاد بر حقوق و دستمزد عادی به کارکنان کلیدی باید به شرح زیر ثبت شود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حساب خلاصه سو و زیان</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 xml:space="preserve">تنخواه سرمایه‌گذاری در منابع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همزمان با ثبت فوق برای سرمایه‌ای کردن ارزش محاسبه‌شدۀ منابع انسانی، باید ثبت زیر انجام شود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تعدیل منابع 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در صورتی که زیان غیرعادی ناشی از مرگ و یا فوت کارکنان برای شرکت به‌وجود آید، این زیان را می‌توان با ثبتهای زیر از حساب سرمایه منابع انسانی حذف کرد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تنخواه سرمایه‌گذاری در منابع انسانی</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حساب خلاصه سو و زیان</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تعدیل منابع انسانی</w:t>
            </w:r>
            <w:r w:rsidRPr="00001801">
              <w:rPr>
                <w:rFonts w:ascii="Times New Roman" w:eastAsia="Times New Roman" w:hAnsi="Times New Roman" w:cs="B Nazanin"/>
                <w:sz w:val="24"/>
                <w:szCs w:val="24"/>
              </w:rPr>
              <w:t xml:space="preserve"> xx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سرمایه‌گذاری در منابع انسانی</w:t>
            </w:r>
            <w:r w:rsidRPr="00001801">
              <w:rPr>
                <w:rFonts w:ascii="Times New Roman" w:eastAsia="Times New Roman" w:hAnsi="Times New Roman" w:cs="B Nazanin"/>
                <w:sz w:val="24"/>
                <w:szCs w:val="24"/>
              </w:rPr>
              <w:t xml:space="preserve"> xx</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lastRenderedPageBreak/>
              <w:t>در این سیستم، مبلغهای پرداختی بابت حقوق ماهانه افراد باید به بدهکار حساب هزینه حقوق و دستمزد منظور شود، زیرا این‌گونه پرداخت‌ها در جهت تحصیل درامد انجام شده است و براساس اصل تطابق هزینه با درامد، این‌گونه هزینه‌ها باید در صورت حساب سودوزیان گزارش شوند. با این حال، مخارج تحمل‌شده بابت استخدام و آموزش کارکنان باید ابتدا به‌عنوان دارایی ثبت‌ و سپس در طی دوره‌های مورد انتظار انتفاع‌رسانی کارکنان، مستهلک شود</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Kodwani</w:t>
            </w:r>
            <w:proofErr w:type="spellEnd"/>
            <w:r w:rsidRPr="00001801">
              <w:rPr>
                <w:rFonts w:ascii="Times New Roman" w:eastAsia="Times New Roman" w:hAnsi="Times New Roman" w:cs="B Nazanin"/>
                <w:sz w:val="24"/>
                <w:szCs w:val="24"/>
              </w:rPr>
              <w:t xml:space="preserve"> &amp; </w:t>
            </w:r>
            <w:proofErr w:type="spellStart"/>
            <w:r w:rsidRPr="00001801">
              <w:rPr>
                <w:rFonts w:ascii="Times New Roman" w:eastAsia="Times New Roman" w:hAnsi="Times New Roman" w:cs="B Nazanin"/>
                <w:sz w:val="24"/>
                <w:szCs w:val="24"/>
              </w:rPr>
              <w:t>Tiwari</w:t>
            </w:r>
            <w:proofErr w:type="spellEnd"/>
            <w:r w:rsidRPr="00001801">
              <w:rPr>
                <w:rFonts w:ascii="Times New Roman" w:eastAsia="Times New Roman" w:hAnsi="Times New Roman" w:cs="B Nazanin"/>
                <w:sz w:val="24"/>
                <w:szCs w:val="24"/>
              </w:rPr>
              <w:t>, 2007).</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توجیه مدل پیشنهادی</w:t>
            </w:r>
            <w:r w:rsidRPr="00001801">
              <w:rPr>
                <w:rFonts w:ascii="Times New Roman" w:eastAsia="Times New Roman" w:hAnsi="Times New Roman" w:cs="B Nazanin"/>
                <w:noProof/>
                <w:sz w:val="24"/>
                <w:szCs w:val="24"/>
              </w:rPr>
              <w:drawing>
                <wp:anchor distT="66675" distB="66675" distL="66675" distR="66675" simplePos="0" relativeHeight="251658240" behindDoc="0" locked="0" layoutInCell="1" allowOverlap="0">
                  <wp:simplePos x="0" y="0"/>
                  <wp:positionH relativeFrom="column">
                    <wp:align>right</wp:align>
                  </wp:positionH>
                  <wp:positionV relativeFrom="line">
                    <wp:posOffset>0</wp:posOffset>
                  </wp:positionV>
                  <wp:extent cx="1905000" cy="2857500"/>
                  <wp:effectExtent l="19050" t="0" r="0" b="0"/>
                  <wp:wrapSquare wrapText="bothSides"/>
                  <wp:docPr id="12" name="Picture 11" descr="http://hesabras.org/Portals/_Rainbow/images/default/article/arzyab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esabras.org/Portals/_Rainbow/images/default/article/arzyabi1.jpg"/>
                          <pic:cNvPicPr>
                            <a:picLocks noChangeAspect="1" noChangeArrowheads="1"/>
                          </pic:cNvPicPr>
                        </pic:nvPicPr>
                        <pic:blipFill>
                          <a:blip r:embed="rId9"/>
                          <a:srcRect/>
                          <a:stretch>
                            <a:fillRect/>
                          </a:stretch>
                        </pic:blipFill>
                        <pic:spPr bwMode="auto">
                          <a:xfrm>
                            <a:off x="0" y="0"/>
                            <a:ext cx="1905000" cy="2857500"/>
                          </a:xfrm>
                          <a:prstGeom prst="rect">
                            <a:avLst/>
                          </a:prstGeom>
                          <a:noFill/>
                          <a:ln w="9525">
                            <a:noFill/>
                            <a:miter lim="800000"/>
                            <a:headEnd/>
                            <a:tailEnd/>
                          </a:ln>
                        </pic:spPr>
                      </pic:pic>
                    </a:graphicData>
                  </a:graphic>
                </wp:anchor>
              </w:drawing>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لازم به ذکر است که برای جلوگیری از ایجاد ابهام و برداشت نادرست از مدل پیشنهادی،لازم دانستیم که موارد کاربرد و محدودیتهای مدل فوق را به‌شرح زیر بیان کنیم</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t xml:space="preserve">1- </w:t>
            </w:r>
            <w:r w:rsidRPr="00001801">
              <w:rPr>
                <w:rFonts w:ascii="Times New Roman" w:eastAsia="Times New Roman" w:hAnsi="Times New Roman" w:cs="B Nazanin"/>
                <w:sz w:val="24"/>
                <w:szCs w:val="24"/>
                <w:rtl/>
              </w:rPr>
              <w:t>این سیستم، مدلهای مربوط به هر دوی ارزشیابی و ثبت حسابداری منابع انسانی را فراهم می‌کند،</w:t>
            </w:r>
            <w:r w:rsidRPr="00001801">
              <w:rPr>
                <w:rFonts w:ascii="Times New Roman" w:eastAsia="Times New Roman" w:hAnsi="Times New Roman" w:cs="B Nazanin"/>
                <w:sz w:val="24"/>
                <w:szCs w:val="24"/>
              </w:rPr>
              <w:br/>
              <w:t xml:space="preserve">2- </w:t>
            </w:r>
            <w:r w:rsidRPr="00001801">
              <w:rPr>
                <w:rFonts w:ascii="Times New Roman" w:eastAsia="Times New Roman" w:hAnsi="Times New Roman" w:cs="B Nazanin"/>
                <w:sz w:val="24"/>
                <w:szCs w:val="24"/>
                <w:rtl/>
              </w:rPr>
              <w:t>در این سیستم، ارزشگذاری کارکنان واحد تجاری صرفاً با هدف افزایش انگیزۀ آنها در دستیابی به هدفهای سازمان صورت می‌گیرد. طبعاً آنها خواهند کوشید که از سالی به سال دیگر بهتر ارزیابی شوند و جایگاه برتری در شرکت داشته ‌باشند. این سیستم همچنین سود غیرمنطقی پرداختی به کارکنان را حذف می‌کند،</w:t>
            </w:r>
            <w:r w:rsidRPr="00001801">
              <w:rPr>
                <w:rFonts w:ascii="Times New Roman" w:eastAsia="Times New Roman" w:hAnsi="Times New Roman" w:cs="B Nazanin"/>
                <w:sz w:val="24"/>
                <w:szCs w:val="24"/>
              </w:rPr>
              <w:br/>
              <w:t xml:space="preserve">3- </w:t>
            </w:r>
            <w:r w:rsidRPr="00001801">
              <w:rPr>
                <w:rFonts w:ascii="Times New Roman" w:eastAsia="Times New Roman" w:hAnsi="Times New Roman" w:cs="B Nazanin"/>
                <w:sz w:val="24"/>
                <w:szCs w:val="24"/>
                <w:rtl/>
              </w:rPr>
              <w:t>در این سیستم، ارزش منابع انسانی می‌تواند در هر زمانی در ترازنامه تعیین شود،</w:t>
            </w:r>
            <w:r w:rsidRPr="00001801">
              <w:rPr>
                <w:rFonts w:ascii="Times New Roman" w:eastAsia="Times New Roman" w:hAnsi="Times New Roman" w:cs="B Nazanin"/>
                <w:sz w:val="24"/>
                <w:szCs w:val="24"/>
              </w:rPr>
              <w:br/>
              <w:t xml:space="preserve">4- </w:t>
            </w:r>
            <w:r w:rsidRPr="00001801">
              <w:rPr>
                <w:rFonts w:ascii="Times New Roman" w:eastAsia="Times New Roman" w:hAnsi="Times New Roman" w:cs="B Nazanin"/>
                <w:sz w:val="24"/>
                <w:szCs w:val="24"/>
                <w:rtl/>
              </w:rPr>
              <w:t>این سیستم برای ارزشگذاری کارکنان واحدتجاری از مفاهیم اولیه مدل لیو و اسچوارتز استفاده می‌کند، ولی برخی از محدودیت‌های اصلی این مدل را رفع کرده‌ است،</w:t>
            </w:r>
            <w:r w:rsidRPr="00001801">
              <w:rPr>
                <w:rFonts w:ascii="Times New Roman" w:eastAsia="Times New Roman" w:hAnsi="Times New Roman" w:cs="B Nazanin"/>
                <w:sz w:val="24"/>
                <w:szCs w:val="24"/>
              </w:rPr>
              <w:br/>
              <w:t xml:space="preserve">5- </w:t>
            </w:r>
            <w:r w:rsidRPr="00001801">
              <w:rPr>
                <w:rFonts w:ascii="Times New Roman" w:eastAsia="Times New Roman" w:hAnsi="Times New Roman" w:cs="B Nazanin"/>
                <w:sz w:val="24"/>
                <w:szCs w:val="24"/>
                <w:rtl/>
              </w:rPr>
              <w:t>بر اساس این مدل، ذخیره منابع انسانی در طول زمان مستهلک نمی‌شوند، زیرا فرض بر آن است که ارزش منابع انسانی با افزایش تجربه آنان بیشتر می‌شود،</w:t>
            </w:r>
            <w:r w:rsidRPr="00001801">
              <w:rPr>
                <w:rFonts w:ascii="Times New Roman" w:eastAsia="Times New Roman" w:hAnsi="Times New Roman" w:cs="B Nazanin"/>
                <w:sz w:val="24"/>
                <w:szCs w:val="24"/>
              </w:rPr>
              <w:br/>
              <w:t xml:space="preserve">6- </w:t>
            </w:r>
            <w:r w:rsidRPr="00001801">
              <w:rPr>
                <w:rFonts w:ascii="Times New Roman" w:eastAsia="Times New Roman" w:hAnsi="Times New Roman" w:cs="B Nazanin"/>
                <w:sz w:val="24"/>
                <w:szCs w:val="24"/>
                <w:rtl/>
              </w:rPr>
              <w:t>این مدل روشی مناسب برای حذف منابع انسانی از دفترها در صورت مرگ و یا ترک سازمان توسط آنها را ارائه می‌کند،</w:t>
            </w:r>
            <w:r w:rsidRPr="00001801">
              <w:rPr>
                <w:rFonts w:ascii="Times New Roman" w:eastAsia="Times New Roman" w:hAnsi="Times New Roman" w:cs="B Nazanin"/>
                <w:sz w:val="24"/>
                <w:szCs w:val="24"/>
              </w:rPr>
              <w:br/>
              <w:t xml:space="preserve">7- </w:t>
            </w:r>
            <w:r w:rsidRPr="00001801">
              <w:rPr>
                <w:rFonts w:ascii="Times New Roman" w:eastAsia="Times New Roman" w:hAnsi="Times New Roman" w:cs="B Nazanin"/>
                <w:sz w:val="24"/>
                <w:szCs w:val="24"/>
                <w:rtl/>
              </w:rPr>
              <w:t>این مدل استفاده از حساب تنخواه سرمایه منابع انسانی را به‌دلیل مقاصد عمومی تجاری واحد تجاری، از قبیل ارزشگذاری مناسب و حفظ وضعیت رقابتی آن، پیشنهاد می‌کند، و</w:t>
            </w:r>
            <w:r w:rsidRPr="00001801">
              <w:rPr>
                <w:rFonts w:ascii="Times New Roman" w:eastAsia="Times New Roman" w:hAnsi="Times New Roman" w:cs="B Nazanin"/>
                <w:sz w:val="24"/>
                <w:szCs w:val="24"/>
              </w:rPr>
              <w:br/>
              <w:t xml:space="preserve">8- </w:t>
            </w:r>
            <w:r w:rsidRPr="00001801">
              <w:rPr>
                <w:rFonts w:ascii="Times New Roman" w:eastAsia="Times New Roman" w:hAnsi="Times New Roman" w:cs="B Nazanin"/>
                <w:sz w:val="24"/>
                <w:szCs w:val="24"/>
                <w:rtl/>
              </w:rPr>
              <w:t>عملکرد کارکنان در هر سال نسبت به سال قبل آنها سنجیده می‌شود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بنابراین، واحد تجاری کنترل بیشتری بر گردش کارکنان که یکی از مشکلات اصلی اکثر سازمانها است، خواهد داشت</w:t>
            </w: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Kodwani</w:t>
            </w:r>
            <w:proofErr w:type="spellEnd"/>
            <w:r w:rsidRPr="00001801">
              <w:rPr>
                <w:rFonts w:ascii="Times New Roman" w:eastAsia="Times New Roman" w:hAnsi="Times New Roman" w:cs="B Nazanin"/>
                <w:sz w:val="24"/>
                <w:szCs w:val="24"/>
              </w:rPr>
              <w:t xml:space="preserve"> &amp; </w:t>
            </w:r>
            <w:proofErr w:type="spellStart"/>
            <w:r w:rsidRPr="00001801">
              <w:rPr>
                <w:rFonts w:ascii="Times New Roman" w:eastAsia="Times New Roman" w:hAnsi="Times New Roman" w:cs="B Nazanin"/>
                <w:sz w:val="24"/>
                <w:szCs w:val="24"/>
              </w:rPr>
              <w:t>Tiwari</w:t>
            </w:r>
            <w:proofErr w:type="spellEnd"/>
            <w:r w:rsidRPr="00001801">
              <w:rPr>
                <w:rFonts w:ascii="Times New Roman" w:eastAsia="Times New Roman" w:hAnsi="Times New Roman" w:cs="B Nazanin"/>
                <w:sz w:val="24"/>
                <w:szCs w:val="24"/>
              </w:rPr>
              <w:t>, 2007).</w:t>
            </w:r>
            <w:r w:rsidRPr="00001801">
              <w:rPr>
                <w:rFonts w:ascii="Times New Roman" w:eastAsia="Times New Roman" w:hAnsi="Times New Roman" w:cs="B Nazanin"/>
                <w:sz w:val="24"/>
                <w:szCs w:val="24"/>
              </w:rPr>
              <w:b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نتیجه‌گیری</w:t>
            </w:r>
            <w:r w:rsidRPr="00001801">
              <w:rPr>
                <w:rFonts w:ascii="Times New Roman" w:eastAsia="Times New Roman" w:hAnsi="Times New Roman" w:cs="B Nazanin"/>
                <w:sz w:val="24"/>
                <w:szCs w:val="24"/>
                <w:rtl/>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 توجه به یافته‌های پژوهشهای مذکور، می‌توان چنین نتیجه گرفت که ارائه اطلاعاتی دربارۀ کمیت و کیفیت منابع انسانی، مدیریت را در تصمیم‌گیریهای مالی و مدیریتی، به‌خصوص درهنگام کاهش سوداوری یاری می‌دهد. همچنین، استفاده‌کنندگان برون‌سازمانی نیز گزارشهای حاوی منابع انسانی را برای درک وضعیت و شرایط واقعی شرکت بهتر ارزیابی می‌کنند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 xml:space="preserve">بسیاری از شرکتها از وجود افراد ماهر و متخصصی در پستهای حساس بهره می‌برند و این افراد هستند که رسیدن به هدفهای آرمانی شرکت را تسهیل می‌کنند. چنانچه این‌گونه شرکتها نتوانند وجود این منابع ارزشمند در سازمان را به اطلاع سهامداران و سایر ذینفعان </w:t>
            </w:r>
            <w:r w:rsidRPr="00001801">
              <w:rPr>
                <w:rFonts w:ascii="Times New Roman" w:eastAsia="Times New Roman" w:hAnsi="Times New Roman" w:cs="B Nazanin"/>
                <w:sz w:val="24"/>
                <w:szCs w:val="24"/>
                <w:rtl/>
              </w:rPr>
              <w:lastRenderedPageBreak/>
              <w:t>برسانند، ارزش واقعی این شرکتها در نظر چنین افرادی کمتر از واقع ارزیابی می‌شود و در نهایت، قیمت سهام آنها نشان‌دهندۀ ارزش واقعی شرکت نخواهد بود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ارزیابی منابع انسانی می‌تواند به درک کارایی بخشها کمک کرده و بازخورد عملکرد مدیران و کارکنان مختلف در سطوح متفاوت سازمانی را ممکن سازد که این امر نیز باعث تسهیل مدیریت منابع انسانی در سازمانها می‌شود.بنابراین، ترکیب روشهای ارزیابی منابع انسانی و حسابرسی عملیاتی می‌تواند در جهت افزایش کارایی سازمانها مفید واقع شود. این مقاله، مدل لیو و اسچوارتز را مردود نمی‌داند، ولی یک گام جلوتر از آن عمل کرده و ثبتهای حسابداری برای ارزیابی منابع انسانی را ارائه می‌کند</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tl/>
              </w:rPr>
              <w:t>همچنین، در ارائه مدل پیشنهادی برای ارزیابی منابع انسانی از مفاهیم اولیه مدل لیو و اسچوارتز استفاده شده است</w:t>
            </w:r>
            <w:r w:rsidRPr="00001801">
              <w:rPr>
                <w:rFonts w:ascii="Times New Roman" w:eastAsia="Times New Roman" w:hAnsi="Times New Roman" w:cs="B Nazanin"/>
                <w:sz w:val="24"/>
                <w:szCs w:val="24"/>
              </w:rPr>
              <w:t xml:space="preserve">. </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tl/>
              </w:rPr>
              <w:t>باتوجه به اینکه گزارش اطلاعات مربوط به منابع انسانی موجب شفافیت تصمیمهای استفاده‌کنندگان داخلی و خارجی می‌گردد و از طرف دیگر، نیروهای انسانی شرکتها تمامی معیارهای لازم برای شناخت دارایی را احراز نمی‌کنند؛ پیشنهاد می‌کنیم که شرکتها اطلاعات مربوط به نیروی انسانی خود را در یادداشتهای پیوست صورتهای مالی ارائه نمایند</w:t>
            </w:r>
            <w:r w:rsidRPr="00001801">
              <w:rPr>
                <w:rFonts w:ascii="Times New Roman" w:eastAsia="Times New Roman" w:hAnsi="Times New Roman" w:cs="B Nazanin"/>
                <w:sz w:val="24"/>
                <w:szCs w:val="24"/>
              </w:rPr>
              <w:t>.</w:t>
            </w:r>
            <w:r w:rsidRPr="00001801">
              <w:rPr>
                <w:rFonts w:ascii="Times New Roman" w:eastAsia="Times New Roman" w:hAnsi="Times New Roman" w:cs="B Nazanin"/>
                <w:sz w:val="24"/>
                <w:szCs w:val="24"/>
              </w:rPr>
              <w:br/>
              <w:t> </w:t>
            </w:r>
          </w:p>
          <w:p w:rsidR="00001801" w:rsidRPr="00001801" w:rsidRDefault="00001801" w:rsidP="00001801">
            <w:pPr>
              <w:bidi/>
              <w:spacing w:after="0" w:line="240" w:lineRule="auto"/>
              <w:jc w:val="right"/>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پانوشتها</w:t>
            </w:r>
            <w:r w:rsidRPr="00001801">
              <w:rPr>
                <w:rFonts w:ascii="Times New Roman" w:eastAsia="Times New Roman" w:hAnsi="Times New Roman" w:cs="B Nazanin"/>
                <w:b/>
                <w:bCs/>
                <w:color w:val="0B4CA6"/>
                <w:sz w:val="24"/>
                <w:szCs w:val="24"/>
              </w:rPr>
              <w:t>:</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t>1- Financial Accounting</w:t>
            </w:r>
            <w:r w:rsidRPr="00001801">
              <w:rPr>
                <w:rFonts w:ascii="Times New Roman" w:eastAsia="Times New Roman" w:hAnsi="Times New Roman" w:cs="B Nazanin"/>
                <w:sz w:val="24"/>
                <w:szCs w:val="24"/>
              </w:rPr>
              <w:br/>
              <w:t>2- Behavioral Model</w:t>
            </w:r>
            <w:r w:rsidRPr="00001801">
              <w:rPr>
                <w:rFonts w:ascii="Times New Roman" w:eastAsia="Times New Roman" w:hAnsi="Times New Roman" w:cs="B Nazanin"/>
                <w:sz w:val="24"/>
                <w:szCs w:val="24"/>
              </w:rPr>
              <w:br/>
              <w:t>3- Historical Cost Method</w:t>
            </w:r>
            <w:r w:rsidRPr="00001801">
              <w:rPr>
                <w:rFonts w:ascii="Times New Roman" w:eastAsia="Times New Roman" w:hAnsi="Times New Roman" w:cs="B Nazanin"/>
                <w:sz w:val="24"/>
                <w:szCs w:val="24"/>
              </w:rPr>
              <w:br/>
              <w:t>4- Competitive Bidding Method</w:t>
            </w:r>
            <w:r w:rsidRPr="00001801">
              <w:rPr>
                <w:rFonts w:ascii="Times New Roman" w:eastAsia="Times New Roman" w:hAnsi="Times New Roman" w:cs="B Nazanin"/>
                <w:sz w:val="24"/>
                <w:szCs w:val="24"/>
              </w:rPr>
              <w:br/>
              <w:t>5- Standard Cost Method</w:t>
            </w:r>
            <w:r w:rsidRPr="00001801">
              <w:rPr>
                <w:rFonts w:ascii="Times New Roman" w:eastAsia="Times New Roman" w:hAnsi="Times New Roman" w:cs="B Nazanin"/>
                <w:sz w:val="24"/>
                <w:szCs w:val="24"/>
              </w:rPr>
              <w:br/>
              <w:t>6- Lev &amp; Schwartz Method</w:t>
            </w:r>
            <w:r w:rsidRPr="00001801">
              <w:rPr>
                <w:rFonts w:ascii="Times New Roman" w:eastAsia="Times New Roman" w:hAnsi="Times New Roman" w:cs="B Nazanin"/>
                <w:sz w:val="24"/>
                <w:szCs w:val="24"/>
              </w:rPr>
              <w:br/>
              <w:t xml:space="preserve">7- </w:t>
            </w:r>
            <w:proofErr w:type="spellStart"/>
            <w:r w:rsidRPr="00001801">
              <w:rPr>
                <w:rFonts w:ascii="Times New Roman" w:eastAsia="Times New Roman" w:hAnsi="Times New Roman" w:cs="B Nazanin"/>
                <w:sz w:val="24"/>
                <w:szCs w:val="24"/>
              </w:rPr>
              <w:t>Jaggi</w:t>
            </w:r>
            <w:proofErr w:type="spellEnd"/>
            <w:r w:rsidRPr="00001801">
              <w:rPr>
                <w:rFonts w:ascii="Times New Roman" w:eastAsia="Times New Roman" w:hAnsi="Times New Roman" w:cs="B Nazanin"/>
                <w:sz w:val="24"/>
                <w:szCs w:val="24"/>
              </w:rPr>
              <w:t xml:space="preserve"> and Lau Group Valuation Method</w:t>
            </w:r>
            <w:r w:rsidRPr="00001801">
              <w:rPr>
                <w:rFonts w:ascii="Times New Roman" w:eastAsia="Times New Roman" w:hAnsi="Times New Roman" w:cs="B Nazanin"/>
                <w:sz w:val="24"/>
                <w:szCs w:val="24"/>
              </w:rPr>
              <w:br/>
              <w:t> </w:t>
            </w:r>
          </w:p>
          <w:p w:rsidR="00001801" w:rsidRPr="00001801" w:rsidRDefault="00001801" w:rsidP="00001801">
            <w:pPr>
              <w:bidi/>
              <w:spacing w:after="0" w:line="240" w:lineRule="auto"/>
              <w:jc w:val="right"/>
              <w:rPr>
                <w:rFonts w:ascii="Times New Roman" w:eastAsia="Times New Roman" w:hAnsi="Times New Roman" w:cs="B Nazanin"/>
                <w:sz w:val="24"/>
                <w:szCs w:val="24"/>
              </w:rPr>
            </w:pPr>
            <w:r w:rsidRPr="00001801">
              <w:rPr>
                <w:rFonts w:ascii="Times New Roman" w:eastAsia="Times New Roman" w:hAnsi="Times New Roman" w:cs="B Nazanin"/>
                <w:b/>
                <w:bCs/>
                <w:color w:val="0B4CA6"/>
                <w:sz w:val="24"/>
                <w:szCs w:val="24"/>
                <w:rtl/>
              </w:rPr>
              <w:t>منابع</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Abeysekera</w:t>
            </w:r>
            <w:proofErr w:type="spellEnd"/>
            <w:r w:rsidRPr="00001801">
              <w:rPr>
                <w:rFonts w:ascii="Times New Roman" w:eastAsia="Times New Roman" w:hAnsi="Times New Roman" w:cs="B Nazanin"/>
                <w:sz w:val="24"/>
                <w:szCs w:val="24"/>
              </w:rPr>
              <w:t xml:space="preserve"> I., Accounting for Intellectual Assets and Liabilities, Journal of HRCA: Human Resource Costing and Accounting, Vol. 7, No. 3, 2007, pp. 7-14 </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Afiouni</w:t>
            </w:r>
            <w:proofErr w:type="spellEnd"/>
            <w:r w:rsidRPr="00001801">
              <w:rPr>
                <w:rFonts w:ascii="Times New Roman" w:eastAsia="Times New Roman" w:hAnsi="Times New Roman" w:cs="B Nazanin"/>
                <w:sz w:val="24"/>
                <w:szCs w:val="24"/>
              </w:rPr>
              <w:t xml:space="preserve"> F., Human Resource Management and Knowledge Management: a Road Map toward Improving Organizational Performance, Journal of American Academy of Business, Vol. 11, 2007, No. 2, pp. 124-31 </w:t>
            </w:r>
            <w:r w:rsidRPr="00001801">
              <w:rPr>
                <w:rFonts w:ascii="Times New Roman" w:eastAsia="Times New Roman" w:hAnsi="Times New Roman" w:cs="B Nazanin"/>
                <w:sz w:val="24"/>
                <w:szCs w:val="24"/>
              </w:rPr>
              <w:br/>
              <w:t>• AICPA, Codification of Statement of Auditing Standard, Audit Risk and Materiality in Conducting an Audit, 1983, (SAS47)</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Batra</w:t>
            </w:r>
            <w:proofErr w:type="spellEnd"/>
            <w:r w:rsidRPr="00001801">
              <w:rPr>
                <w:rFonts w:ascii="Times New Roman" w:eastAsia="Times New Roman" w:hAnsi="Times New Roman" w:cs="B Nazanin"/>
                <w:sz w:val="24"/>
                <w:szCs w:val="24"/>
              </w:rPr>
              <w:t xml:space="preserve"> G. S., Human Resource Auditing as a Tool of Human Resource Valuation: Interface and Emerging Practices, Managerial Auditing Journal, 1996</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Bozzolan</w:t>
            </w:r>
            <w:proofErr w:type="spellEnd"/>
            <w:r w:rsidRPr="00001801">
              <w:rPr>
                <w:rFonts w:ascii="Times New Roman" w:eastAsia="Times New Roman" w:hAnsi="Times New Roman" w:cs="B Nazanin"/>
                <w:sz w:val="24"/>
                <w:szCs w:val="24"/>
              </w:rPr>
              <w:t xml:space="preserve"> S., P </w:t>
            </w:r>
            <w:proofErr w:type="spellStart"/>
            <w:r w:rsidRPr="00001801">
              <w:rPr>
                <w:rFonts w:ascii="Times New Roman" w:eastAsia="Times New Roman" w:hAnsi="Times New Roman" w:cs="B Nazanin"/>
                <w:sz w:val="24"/>
                <w:szCs w:val="24"/>
              </w:rPr>
              <w:t>O’Regan</w:t>
            </w:r>
            <w:proofErr w:type="spellEnd"/>
            <w:r w:rsidRPr="00001801">
              <w:rPr>
                <w:rFonts w:ascii="Times New Roman" w:eastAsia="Times New Roman" w:hAnsi="Times New Roman" w:cs="B Nazanin"/>
                <w:sz w:val="24"/>
                <w:szCs w:val="24"/>
              </w:rPr>
              <w:t xml:space="preserve">. and F. </w:t>
            </w:r>
            <w:proofErr w:type="spellStart"/>
            <w:r w:rsidRPr="00001801">
              <w:rPr>
                <w:rFonts w:ascii="Times New Roman" w:eastAsia="Times New Roman" w:hAnsi="Times New Roman" w:cs="B Nazanin"/>
                <w:sz w:val="24"/>
                <w:szCs w:val="24"/>
              </w:rPr>
              <w:t>Ricceri</w:t>
            </w:r>
            <w:proofErr w:type="spellEnd"/>
            <w:r w:rsidRPr="00001801">
              <w:rPr>
                <w:rFonts w:ascii="Times New Roman" w:eastAsia="Times New Roman" w:hAnsi="Times New Roman" w:cs="B Nazanin"/>
                <w:sz w:val="24"/>
                <w:szCs w:val="24"/>
              </w:rPr>
              <w:t>., Intellectual Capital Disclosure (ICD); a Comparison of Italy and the UK, Journal of HRCA: Human Resource Costing and Accounting, Vol. 10, 2006, No. 2, pp. 92-113</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Deo</w:t>
            </w:r>
            <w:proofErr w:type="spellEnd"/>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Kodwani</w:t>
            </w:r>
            <w:proofErr w:type="spellEnd"/>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Amitabh</w:t>
            </w:r>
            <w:proofErr w:type="spellEnd"/>
            <w:r w:rsidRPr="00001801">
              <w:rPr>
                <w:rFonts w:ascii="Times New Roman" w:eastAsia="Times New Roman" w:hAnsi="Times New Roman" w:cs="B Nazanin"/>
                <w:sz w:val="24"/>
                <w:szCs w:val="24"/>
              </w:rPr>
              <w:t xml:space="preserve"> &amp; </w:t>
            </w:r>
            <w:proofErr w:type="spellStart"/>
            <w:r w:rsidRPr="00001801">
              <w:rPr>
                <w:rFonts w:ascii="Times New Roman" w:eastAsia="Times New Roman" w:hAnsi="Times New Roman" w:cs="B Nazanin"/>
                <w:sz w:val="24"/>
                <w:szCs w:val="24"/>
              </w:rPr>
              <w:t>Ravindra</w:t>
            </w:r>
            <w:proofErr w:type="spellEnd"/>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Tiwari</w:t>
            </w:r>
            <w:proofErr w:type="spellEnd"/>
            <w:r w:rsidRPr="00001801">
              <w:rPr>
                <w:rFonts w:ascii="Times New Roman" w:eastAsia="Times New Roman" w:hAnsi="Times New Roman" w:cs="B Nazanin"/>
                <w:sz w:val="24"/>
                <w:szCs w:val="24"/>
              </w:rPr>
              <w:t>, Human Resource Accounting-a New Dimension, Canadian Accounting Association, 2007</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Flamholtz</w:t>
            </w:r>
            <w:proofErr w:type="spellEnd"/>
            <w:r w:rsidRPr="00001801">
              <w:rPr>
                <w:rFonts w:ascii="Times New Roman" w:eastAsia="Times New Roman" w:hAnsi="Times New Roman" w:cs="B Nazanin"/>
                <w:sz w:val="24"/>
                <w:szCs w:val="24"/>
              </w:rPr>
              <w:t xml:space="preserve"> Eric G. &amp; </w:t>
            </w:r>
            <w:proofErr w:type="spellStart"/>
            <w:r w:rsidRPr="00001801">
              <w:rPr>
                <w:rFonts w:ascii="Times New Roman" w:eastAsia="Times New Roman" w:hAnsi="Times New Roman" w:cs="B Nazanin"/>
                <w:sz w:val="24"/>
                <w:szCs w:val="24"/>
              </w:rPr>
              <w:t>Marial</w:t>
            </w:r>
            <w:proofErr w:type="spellEnd"/>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Bullen</w:t>
            </w:r>
            <w:proofErr w:type="spellEnd"/>
            <w:r w:rsidRPr="00001801">
              <w:rPr>
                <w:rFonts w:ascii="Times New Roman" w:eastAsia="Times New Roman" w:hAnsi="Times New Roman" w:cs="B Nazanin"/>
                <w:sz w:val="24"/>
                <w:szCs w:val="24"/>
              </w:rPr>
              <w:t xml:space="preserve"> &amp; Wei </w:t>
            </w:r>
            <w:proofErr w:type="spellStart"/>
            <w:r w:rsidRPr="00001801">
              <w:rPr>
                <w:rFonts w:ascii="Times New Roman" w:eastAsia="Times New Roman" w:hAnsi="Times New Roman" w:cs="B Nazanin"/>
                <w:sz w:val="24"/>
                <w:szCs w:val="24"/>
              </w:rPr>
              <w:t>Hua</w:t>
            </w:r>
            <w:proofErr w:type="spellEnd"/>
            <w:r w:rsidRPr="00001801">
              <w:rPr>
                <w:rFonts w:ascii="Times New Roman" w:eastAsia="Times New Roman" w:hAnsi="Times New Roman" w:cs="B Nazanin"/>
                <w:sz w:val="24"/>
                <w:szCs w:val="24"/>
              </w:rPr>
              <w:t>, Human Resource Accounting: a Historical Perspective and Future Implication, Management Decision, 2002</w:t>
            </w:r>
            <w:r w:rsidRPr="00001801">
              <w:rPr>
                <w:rFonts w:ascii="Times New Roman" w:eastAsia="Times New Roman" w:hAnsi="Times New Roman" w:cs="B Nazanin"/>
                <w:sz w:val="24"/>
                <w:szCs w:val="24"/>
              </w:rPr>
              <w:br/>
            </w:r>
            <w:r w:rsidRPr="00001801">
              <w:rPr>
                <w:rFonts w:ascii="Times New Roman" w:eastAsia="Times New Roman" w:hAnsi="Times New Roman" w:cs="B Nazanin"/>
                <w:sz w:val="24"/>
                <w:szCs w:val="24"/>
              </w:rPr>
              <w:lastRenderedPageBreak/>
              <w:t xml:space="preserve">• </w:t>
            </w:r>
            <w:proofErr w:type="spellStart"/>
            <w:r w:rsidRPr="00001801">
              <w:rPr>
                <w:rFonts w:ascii="Times New Roman" w:eastAsia="Times New Roman" w:hAnsi="Times New Roman" w:cs="B Nazanin"/>
                <w:sz w:val="24"/>
                <w:szCs w:val="24"/>
              </w:rPr>
              <w:t>Flamholtz</w:t>
            </w:r>
            <w:proofErr w:type="spellEnd"/>
            <w:r w:rsidRPr="00001801">
              <w:rPr>
                <w:rFonts w:ascii="Times New Roman" w:eastAsia="Times New Roman" w:hAnsi="Times New Roman" w:cs="B Nazanin"/>
                <w:sz w:val="24"/>
                <w:szCs w:val="24"/>
              </w:rPr>
              <w:t xml:space="preserve"> Eric, Human Resource Accounting, </w:t>
            </w:r>
            <w:proofErr w:type="spellStart"/>
            <w:r w:rsidRPr="00001801">
              <w:rPr>
                <w:rFonts w:ascii="Times New Roman" w:eastAsia="Times New Roman" w:hAnsi="Times New Roman" w:cs="B Nazanin"/>
                <w:sz w:val="24"/>
                <w:szCs w:val="24"/>
              </w:rPr>
              <w:t>Kluwer</w:t>
            </w:r>
            <w:proofErr w:type="spellEnd"/>
            <w:r w:rsidRPr="00001801">
              <w:rPr>
                <w:rFonts w:ascii="Times New Roman" w:eastAsia="Times New Roman" w:hAnsi="Times New Roman" w:cs="B Nazanin"/>
                <w:sz w:val="24"/>
                <w:szCs w:val="24"/>
              </w:rPr>
              <w:t xml:space="preserve"> Academic Publisher, 1999</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Jasrotia</w:t>
            </w:r>
            <w:proofErr w:type="spellEnd"/>
            <w:r w:rsidRPr="00001801">
              <w:rPr>
                <w:rFonts w:ascii="Times New Roman" w:eastAsia="Times New Roman" w:hAnsi="Times New Roman" w:cs="B Nazanin"/>
                <w:sz w:val="24"/>
                <w:szCs w:val="24"/>
              </w:rPr>
              <w:t xml:space="preserve"> </w:t>
            </w:r>
            <w:proofErr w:type="spellStart"/>
            <w:r w:rsidRPr="00001801">
              <w:rPr>
                <w:rFonts w:ascii="Times New Roman" w:eastAsia="Times New Roman" w:hAnsi="Times New Roman" w:cs="B Nazanin"/>
                <w:sz w:val="24"/>
                <w:szCs w:val="24"/>
              </w:rPr>
              <w:t>Punita</w:t>
            </w:r>
            <w:proofErr w:type="spellEnd"/>
            <w:r w:rsidRPr="00001801">
              <w:rPr>
                <w:rFonts w:ascii="Times New Roman" w:eastAsia="Times New Roman" w:hAnsi="Times New Roman" w:cs="B Nazanin"/>
                <w:sz w:val="24"/>
                <w:szCs w:val="24"/>
              </w:rPr>
              <w:t>, The Need for Human Resource Accounting, Journal of Human Resource Costing &amp; Accounting, 2002</w:t>
            </w:r>
            <w:r w:rsidRPr="00001801">
              <w:rPr>
                <w:rFonts w:ascii="Times New Roman" w:eastAsia="Times New Roman" w:hAnsi="Times New Roman" w:cs="B Nazanin"/>
                <w:sz w:val="24"/>
                <w:szCs w:val="24"/>
              </w:rPr>
              <w:br/>
              <w:t>• Lev B. and A. Schwartz., On the Use of the Economic Concept of Human Capital in Financial Statements, The Accounting Review, January, 1971, pp. 103-12</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Likert</w:t>
            </w:r>
            <w:proofErr w:type="spellEnd"/>
            <w:r w:rsidRPr="00001801">
              <w:rPr>
                <w:rFonts w:ascii="Times New Roman" w:eastAsia="Times New Roman" w:hAnsi="Times New Roman" w:cs="B Nazanin"/>
                <w:sz w:val="24"/>
                <w:szCs w:val="24"/>
              </w:rPr>
              <w:t xml:space="preserve"> R. and W.C Pyle., Human Resource Accounting, a Human Organizational Measurement Approach, Financial Analysts Journal, January-February, 1971, pp. 75-84</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Likert</w:t>
            </w:r>
            <w:proofErr w:type="spellEnd"/>
            <w:r w:rsidRPr="00001801">
              <w:rPr>
                <w:rFonts w:ascii="Times New Roman" w:eastAsia="Times New Roman" w:hAnsi="Times New Roman" w:cs="B Nazanin"/>
                <w:sz w:val="24"/>
                <w:szCs w:val="24"/>
              </w:rPr>
              <w:t xml:space="preserve"> R., The Human Organization, Its Management and Values, McGraw-Hill, Tokyo, 1967, pp. 146-55 </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Theeke</w:t>
            </w:r>
            <w:proofErr w:type="spellEnd"/>
            <w:r w:rsidRPr="00001801">
              <w:rPr>
                <w:rFonts w:ascii="Times New Roman" w:eastAsia="Times New Roman" w:hAnsi="Times New Roman" w:cs="B Nazanin"/>
                <w:sz w:val="24"/>
                <w:szCs w:val="24"/>
              </w:rPr>
              <w:t xml:space="preserve"> Herman and John B. Mitchell, Financial Implications of Accounting for Human Resources Using a Liability Model, Journal of Human Resource Costing &amp; Accounting, 2008 </w:t>
            </w:r>
            <w:r w:rsidRPr="00001801">
              <w:rPr>
                <w:rFonts w:ascii="Times New Roman" w:eastAsia="Times New Roman" w:hAnsi="Times New Roman" w:cs="B Nazanin"/>
                <w:sz w:val="24"/>
                <w:szCs w:val="24"/>
              </w:rPr>
              <w:br/>
              <w:t xml:space="preserve">• </w:t>
            </w:r>
            <w:proofErr w:type="spellStart"/>
            <w:r w:rsidRPr="00001801">
              <w:rPr>
                <w:rFonts w:ascii="Times New Roman" w:eastAsia="Times New Roman" w:hAnsi="Times New Roman" w:cs="B Nazanin"/>
                <w:sz w:val="24"/>
                <w:szCs w:val="24"/>
              </w:rPr>
              <w:t>Toulson</w:t>
            </w:r>
            <w:proofErr w:type="spellEnd"/>
            <w:r w:rsidRPr="00001801">
              <w:rPr>
                <w:rFonts w:ascii="Times New Roman" w:eastAsia="Times New Roman" w:hAnsi="Times New Roman" w:cs="B Nazanin"/>
                <w:sz w:val="24"/>
                <w:szCs w:val="24"/>
              </w:rPr>
              <w:t xml:space="preserve"> Paul K, </w:t>
            </w:r>
            <w:proofErr w:type="spellStart"/>
            <w:r w:rsidRPr="00001801">
              <w:rPr>
                <w:rFonts w:ascii="Times New Roman" w:eastAsia="Times New Roman" w:hAnsi="Times New Roman" w:cs="B Nazanin"/>
                <w:sz w:val="24"/>
                <w:szCs w:val="24"/>
              </w:rPr>
              <w:t>Dewe</w:t>
            </w:r>
            <w:proofErr w:type="spellEnd"/>
            <w:r w:rsidRPr="00001801">
              <w:rPr>
                <w:rFonts w:ascii="Times New Roman" w:eastAsia="Times New Roman" w:hAnsi="Times New Roman" w:cs="B Nazanin"/>
                <w:sz w:val="24"/>
                <w:szCs w:val="24"/>
              </w:rPr>
              <w:t xml:space="preserve"> Philip, HR Accounting as a Measurement Tool, Human Resource Management Journal, 14(2), 2004, pp. 75-90</w:t>
            </w:r>
          </w:p>
        </w:tc>
      </w:tr>
    </w:tbl>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lastRenderedPageBreak/>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r w:rsidRPr="00001801">
        <w:rPr>
          <w:rFonts w:ascii="Times New Roman" w:eastAsia="Times New Roman" w:hAnsi="Times New Roman" w:cs="B Nazanin"/>
          <w:sz w:val="24"/>
          <w:szCs w:val="24"/>
        </w:rPr>
        <w:t> </w:t>
      </w:r>
    </w:p>
    <w:p w:rsidR="00001801" w:rsidRPr="00001801" w:rsidRDefault="00001801" w:rsidP="00001801">
      <w:pPr>
        <w:bidi/>
        <w:spacing w:before="100" w:beforeAutospacing="1" w:after="100" w:afterAutospacing="1" w:line="240" w:lineRule="auto"/>
        <w:rPr>
          <w:rFonts w:ascii="Times New Roman" w:eastAsia="Times New Roman" w:hAnsi="Times New Roman" w:cs="B Nazanin"/>
          <w:sz w:val="24"/>
          <w:szCs w:val="24"/>
        </w:rPr>
      </w:pPr>
    </w:p>
    <w:p w:rsidR="00A421C7" w:rsidRPr="00001801" w:rsidRDefault="00A421C7" w:rsidP="00001801">
      <w:pPr>
        <w:bidi/>
        <w:rPr>
          <w:rFonts w:cs="B Nazanin"/>
          <w:sz w:val="24"/>
          <w:szCs w:val="24"/>
        </w:rPr>
      </w:pPr>
    </w:p>
    <w:sectPr w:rsidR="00A421C7" w:rsidRPr="00001801"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01801"/>
    <w:rsid w:val="000D0248"/>
    <w:rsid w:val="004E2D1E"/>
    <w:rsid w:val="008D77F3"/>
    <w:rsid w:val="00A421C7"/>
    <w:rsid w:val="00BA3B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211159519">
      <w:bodyDiv w:val="1"/>
      <w:marLeft w:val="0"/>
      <w:marRight w:val="0"/>
      <w:marTop w:val="0"/>
      <w:marBottom w:val="0"/>
      <w:divBdr>
        <w:top w:val="none" w:sz="0" w:space="0" w:color="auto"/>
        <w:left w:val="none" w:sz="0" w:space="0" w:color="auto"/>
        <w:bottom w:val="none" w:sz="0" w:space="0" w:color="auto"/>
        <w:right w:val="none" w:sz="0" w:space="0" w:color="auto"/>
      </w:divBdr>
      <w:divsChild>
        <w:div w:id="1669554994">
          <w:marLeft w:val="0"/>
          <w:marRight w:val="0"/>
          <w:marTop w:val="0"/>
          <w:marBottom w:val="0"/>
          <w:divBdr>
            <w:top w:val="none" w:sz="0" w:space="0" w:color="auto"/>
            <w:left w:val="none" w:sz="0" w:space="0" w:color="auto"/>
            <w:bottom w:val="none" w:sz="0" w:space="0" w:color="auto"/>
            <w:right w:val="none" w:sz="0" w:space="0" w:color="auto"/>
          </w:divBdr>
        </w:div>
      </w:divsChild>
    </w:div>
    <w:div w:id="476192530">
      <w:bodyDiv w:val="1"/>
      <w:marLeft w:val="0"/>
      <w:marRight w:val="0"/>
      <w:marTop w:val="0"/>
      <w:marBottom w:val="0"/>
      <w:divBdr>
        <w:top w:val="none" w:sz="0" w:space="0" w:color="auto"/>
        <w:left w:val="none" w:sz="0" w:space="0" w:color="auto"/>
        <w:bottom w:val="none" w:sz="0" w:space="0" w:color="auto"/>
        <w:right w:val="none" w:sz="0" w:space="0" w:color="auto"/>
      </w:divBdr>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 w:id="1273976454">
      <w:bodyDiv w:val="1"/>
      <w:marLeft w:val="0"/>
      <w:marRight w:val="0"/>
      <w:marTop w:val="0"/>
      <w:marBottom w:val="0"/>
      <w:divBdr>
        <w:top w:val="none" w:sz="0" w:space="0" w:color="auto"/>
        <w:left w:val="none" w:sz="0" w:space="0" w:color="auto"/>
        <w:bottom w:val="none" w:sz="0" w:space="0" w:color="auto"/>
        <w:right w:val="none" w:sz="0" w:space="0" w:color="auto"/>
      </w:divBdr>
    </w:div>
    <w:div w:id="15398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3536</Words>
  <Characters>20157</Characters>
  <Application>Microsoft Office Word</Application>
  <DocSecurity>0</DocSecurity>
  <Lines>167</Lines>
  <Paragraphs>47</Paragraphs>
  <ScaleCrop>false</ScaleCrop>
  <Company>MRT www.Win2Farsi.com</Company>
  <LinksUpToDate>false</LinksUpToDate>
  <CharactersWithSpaces>23646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2011-12-25T11:36:00Z</dcterms:created>
  <dcterms:modified xsi:type="dcterms:W3CDTF">2011-12-25T11:36:00Z</dcterms:modified>
</cp:coreProperties>
</file>